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1175">
      <w:pPr>
        <w:spacing w:line="360" w:lineRule="auto"/>
        <w:jc w:val="center"/>
        <w:rPr>
          <w:rFonts w:asciiTheme="minorEastAsia" w:hAnsiTheme="minorEastAsia"/>
          <w:b/>
          <w:sz w:val="44"/>
          <w:szCs w:val="44"/>
        </w:rPr>
      </w:pPr>
      <w:r>
        <w:rPr>
          <w:rFonts w:hint="eastAsia" w:asciiTheme="minorEastAsia" w:hAnsiTheme="minorEastAsia"/>
          <w:b/>
          <w:sz w:val="44"/>
          <w:szCs w:val="44"/>
        </w:rPr>
        <w:t>扬州市中心城区城镇污水处理设施更新改造工程技术咨询服务项目</w:t>
      </w:r>
    </w:p>
    <w:p w14:paraId="71351DD4">
      <w:pPr>
        <w:spacing w:line="360" w:lineRule="auto"/>
        <w:jc w:val="center"/>
        <w:rPr>
          <w:rFonts w:asciiTheme="minorEastAsia" w:hAnsiTheme="minorEastAsia"/>
          <w:b/>
          <w:sz w:val="44"/>
          <w:szCs w:val="44"/>
        </w:rPr>
      </w:pPr>
      <w:r>
        <w:rPr>
          <w:rFonts w:hint="eastAsia" w:asciiTheme="minorEastAsia" w:hAnsiTheme="minorEastAsia"/>
          <w:b/>
          <w:sz w:val="44"/>
          <w:szCs w:val="44"/>
        </w:rPr>
        <w:t>公开招标文件</w:t>
      </w:r>
    </w:p>
    <w:p w14:paraId="3AE5B11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污水处理行业当前已从规模扩张进入存量提质时代，高质量运营成为行业的重点关注方向，污水处理设备更新换代是高质量运营中重要的一环。</w:t>
      </w:r>
    </w:p>
    <w:p w14:paraId="1B9D1E2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为响应国家及地区政府《推动大规模设备更新和消费品以旧换新行动方案》，加快扬州市城镇生活污水处理设施设备升级，提升节能环保服务的效率与效果，扬州洁源环境股份有限公司（以下简称“洁源公司”）开展扬州市中心城区城镇污水处理设施更新改造工程实施工作。现对本工程相关咨询服务项目召开招标工作，洁源公司具体要求如下：</w:t>
      </w:r>
    </w:p>
    <w:p w14:paraId="34EC7AAF">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一、项目情况介绍</w:t>
      </w:r>
    </w:p>
    <w:p w14:paraId="6B38EF0A">
      <w:pPr>
        <w:pStyle w:val="3"/>
        <w:numPr>
          <w:ilvl w:val="0"/>
          <w:numId w:val="0"/>
        </w:numPr>
        <w:spacing w:line="360" w:lineRule="auto"/>
        <w:ind w:left="567"/>
        <w:rPr>
          <w:rFonts w:asciiTheme="minorEastAsia" w:hAnsiTheme="minorEastAsia" w:eastAsiaTheme="minorEastAsia"/>
          <w:szCs w:val="24"/>
        </w:rPr>
      </w:pPr>
      <w:r>
        <w:rPr>
          <w:rFonts w:hint="eastAsia" w:asciiTheme="minorEastAsia" w:hAnsiTheme="minorEastAsia" w:eastAsiaTheme="minorEastAsia"/>
          <w:szCs w:val="24"/>
        </w:rPr>
        <w:t>a、项目概述</w:t>
      </w:r>
    </w:p>
    <w:p w14:paraId="393145E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项目名称：扬州市中心城区城镇污水处理设施更新改造工程</w:t>
      </w:r>
    </w:p>
    <w:p w14:paraId="686C804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建设地点：洁源公司下属汤汪、六圩、北山污水处理厂</w:t>
      </w:r>
    </w:p>
    <w:p w14:paraId="55FDC54C">
      <w:pPr>
        <w:snapToGrid w:val="0"/>
        <w:spacing w:line="360" w:lineRule="auto"/>
        <w:ind w:firstLine="480" w:firstLineChars="200"/>
        <w:rPr>
          <w:rFonts w:ascii="宋体" w:hAnsi="宋体" w:eastAsia="宋体"/>
          <w:sz w:val="24"/>
          <w:szCs w:val="24"/>
        </w:rPr>
      </w:pPr>
      <w:r>
        <w:rPr>
          <w:rFonts w:hint="eastAsia" w:asciiTheme="minorEastAsia" w:hAnsiTheme="minorEastAsia"/>
          <w:sz w:val="24"/>
          <w:szCs w:val="24"/>
        </w:rPr>
        <w:t xml:space="preserve">联系人：张传标 </w:t>
      </w:r>
      <w:r>
        <w:rPr>
          <w:rFonts w:asciiTheme="minorEastAsia" w:hAnsiTheme="minorEastAsia"/>
          <w:sz w:val="24"/>
          <w:szCs w:val="24"/>
        </w:rPr>
        <w:t>18952798</w:t>
      </w:r>
      <w:r>
        <w:rPr>
          <w:rFonts w:hint="eastAsia" w:asciiTheme="minorEastAsia" w:hAnsiTheme="minorEastAsia"/>
          <w:sz w:val="24"/>
          <w:szCs w:val="24"/>
        </w:rPr>
        <w:t>198</w:t>
      </w:r>
    </w:p>
    <w:p w14:paraId="17686D31">
      <w:pPr>
        <w:spacing w:line="360" w:lineRule="auto"/>
        <w:ind w:firstLine="482" w:firstLineChars="200"/>
        <w:jc w:val="left"/>
        <w:rPr>
          <w:rFonts w:asciiTheme="minorEastAsia" w:hAnsiTheme="minorEastAsia"/>
          <w:b/>
          <w:sz w:val="24"/>
          <w:szCs w:val="24"/>
        </w:rPr>
      </w:pPr>
      <w:r>
        <w:rPr>
          <w:rFonts w:asciiTheme="minorEastAsia" w:hAnsiTheme="minorEastAsia"/>
          <w:b/>
          <w:sz w:val="24"/>
          <w:szCs w:val="24"/>
        </w:rPr>
        <w:t>二、投标方服务内容</w:t>
      </w:r>
    </w:p>
    <w:p w14:paraId="5C6D0678">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1</w:t>
      </w:r>
      <w:r>
        <w:rPr>
          <w:rFonts w:asciiTheme="minorEastAsia" w:hAnsiTheme="minorEastAsia"/>
          <w:sz w:val="24"/>
          <w:szCs w:val="24"/>
        </w:rPr>
        <w:t>）协助洁源公司开展本项目的立项申报；</w:t>
      </w:r>
    </w:p>
    <w:p w14:paraId="6585B9F2">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2</w:t>
      </w:r>
      <w:r>
        <w:rPr>
          <w:rFonts w:asciiTheme="minorEastAsia" w:hAnsiTheme="minorEastAsia"/>
          <w:sz w:val="24"/>
          <w:szCs w:val="24"/>
        </w:rPr>
        <w:t>）编制节能申报表；</w:t>
      </w:r>
    </w:p>
    <w:p w14:paraId="236C389C">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3</w:t>
      </w:r>
      <w:r>
        <w:rPr>
          <w:rFonts w:asciiTheme="minorEastAsia" w:hAnsiTheme="minorEastAsia"/>
          <w:sz w:val="24"/>
          <w:szCs w:val="24"/>
        </w:rPr>
        <w:t>）编制资金申请报告；</w:t>
      </w:r>
    </w:p>
    <w:p w14:paraId="037F98BC">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4</w:t>
      </w:r>
      <w:r>
        <w:rPr>
          <w:rFonts w:asciiTheme="minorEastAsia" w:hAnsiTheme="minorEastAsia"/>
          <w:sz w:val="24"/>
          <w:szCs w:val="24"/>
        </w:rPr>
        <w:t>）协助洁源公司开展国家政策性补助申请，如国债、</w:t>
      </w:r>
      <w:r>
        <w:rPr>
          <w:rFonts w:hint="eastAsia" w:asciiTheme="minorEastAsia" w:hAnsiTheme="minorEastAsia"/>
          <w:sz w:val="24"/>
          <w:szCs w:val="24"/>
        </w:rPr>
        <w:t>超长期特别国债、中央预算内投资、地方财政等；</w:t>
      </w:r>
    </w:p>
    <w:p w14:paraId="29FD2166">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5</w:t>
      </w:r>
      <w:r>
        <w:rPr>
          <w:rFonts w:asciiTheme="minorEastAsia" w:hAnsiTheme="minorEastAsia"/>
          <w:sz w:val="24"/>
          <w:szCs w:val="24"/>
        </w:rPr>
        <w:t>）项目执行过程中，投标方开展国家政策性补助申报材料的编写、评审、申报、检查、验收等。</w:t>
      </w:r>
    </w:p>
    <w:p w14:paraId="79C1EA5D">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二、报价形式</w:t>
      </w:r>
    </w:p>
    <w:p w14:paraId="4FB9A517">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本项目价格分两种，基础服务费或酬金。</w:t>
      </w:r>
    </w:p>
    <w:p w14:paraId="503488CD">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基础服务费</w:t>
      </w:r>
      <w:r>
        <w:rPr>
          <w:rFonts w:hint="eastAsia" w:asciiTheme="minorEastAsia" w:hAnsiTheme="minorEastAsia"/>
          <w:sz w:val="24"/>
          <w:szCs w:val="24"/>
        </w:rPr>
        <w:t>或酬金包含为开展服务内容涉及到的一切费用（</w:t>
      </w:r>
      <w:r>
        <w:rPr>
          <w:rFonts w:hint="eastAsia" w:asciiTheme="minorEastAsia" w:hAnsiTheme="minorEastAsia"/>
          <w:color w:val="000000"/>
          <w:sz w:val="24"/>
          <w:szCs w:val="24"/>
        </w:rPr>
        <w:t>包括但不限于为完成本项目成果文件编制涉及到的报告编制、立项申报、沟通协调、现场踏勘、差旅费、风险、增值税费6%等全部服务费用</w:t>
      </w:r>
      <w:r>
        <w:rPr>
          <w:rFonts w:hint="eastAsia" w:asciiTheme="minorEastAsia" w:hAnsiTheme="minorEastAsia"/>
          <w:sz w:val="24"/>
          <w:szCs w:val="24"/>
        </w:rPr>
        <w:t>）。</w:t>
      </w:r>
    </w:p>
    <w:p w14:paraId="5A2EA906">
      <w:pPr>
        <w:spacing w:line="360" w:lineRule="auto"/>
        <w:ind w:firstLine="480" w:firstLineChars="200"/>
        <w:jc w:val="left"/>
        <w:rPr>
          <w:rFonts w:hint="eastAsia" w:ascii="Times New Roman" w:hAnsi="Times New Roman" w:eastAsia="宋体" w:cs="宋体"/>
          <w:bCs/>
          <w:color w:val="000000"/>
          <w:kern w:val="0"/>
          <w:sz w:val="22"/>
        </w:rPr>
      </w:pPr>
      <w:r>
        <w:rPr>
          <w:rFonts w:hint="eastAsia" w:asciiTheme="minorEastAsia" w:hAnsiTheme="minorEastAsia"/>
          <w:sz w:val="24"/>
          <w:szCs w:val="24"/>
        </w:rPr>
        <w:t>酬金为如投标方协助洁源公司申请到国家政策</w:t>
      </w:r>
      <w:r>
        <w:rPr>
          <w:rFonts w:asciiTheme="minorEastAsia" w:hAnsiTheme="minorEastAsia"/>
          <w:sz w:val="24"/>
          <w:szCs w:val="24"/>
        </w:rPr>
        <w:t>性补助</w:t>
      </w:r>
      <w:r>
        <w:rPr>
          <w:rFonts w:hint="eastAsia" w:asciiTheme="minorEastAsia" w:hAnsiTheme="minorEastAsia"/>
          <w:sz w:val="24"/>
          <w:szCs w:val="24"/>
        </w:rPr>
        <w:t>的奖励</w:t>
      </w:r>
      <w:r>
        <w:rPr>
          <w:rFonts w:asciiTheme="minorEastAsia" w:hAnsiTheme="minorEastAsia"/>
          <w:sz w:val="24"/>
          <w:szCs w:val="24"/>
        </w:rPr>
        <w:t>，</w:t>
      </w:r>
      <w:r>
        <w:rPr>
          <w:rFonts w:hint="eastAsia" w:asciiTheme="minorEastAsia" w:hAnsiTheme="minorEastAsia"/>
          <w:sz w:val="24"/>
          <w:szCs w:val="24"/>
        </w:rPr>
        <w:t>但当酬金计算金额大于</w:t>
      </w:r>
      <w:r>
        <w:rPr>
          <w:rFonts w:asciiTheme="minorEastAsia" w:hAnsiTheme="minorEastAsia"/>
          <w:sz w:val="24"/>
          <w:szCs w:val="24"/>
        </w:rPr>
        <w:t>洁源公司给与</w:t>
      </w:r>
      <w:r>
        <w:rPr>
          <w:rFonts w:hint="eastAsia" w:asciiTheme="minorEastAsia" w:hAnsiTheme="minorEastAsia"/>
          <w:sz w:val="24"/>
          <w:szCs w:val="24"/>
        </w:rPr>
        <w:t>的</w:t>
      </w:r>
      <w:r>
        <w:rPr>
          <w:rFonts w:asciiTheme="minorEastAsia" w:hAnsiTheme="minorEastAsia"/>
          <w:sz w:val="24"/>
          <w:szCs w:val="24"/>
        </w:rPr>
        <w:t>基础服务费，</w:t>
      </w:r>
      <w:r>
        <w:rPr>
          <w:rFonts w:hint="eastAsia" w:asciiTheme="minorEastAsia" w:hAnsiTheme="minorEastAsia"/>
          <w:sz w:val="24"/>
          <w:szCs w:val="24"/>
        </w:rPr>
        <w:t>则洁源公司仅支付酬金，无需再额外支付基础服务费。</w:t>
      </w:r>
      <w:r>
        <w:rPr>
          <w:rFonts w:asciiTheme="minorEastAsia" w:hAnsiTheme="minorEastAsia"/>
          <w:sz w:val="24"/>
          <w:szCs w:val="24"/>
        </w:rPr>
        <w:t>酬金</w:t>
      </w:r>
      <w:r>
        <w:rPr>
          <w:rFonts w:hint="eastAsia" w:asciiTheme="minorEastAsia" w:hAnsiTheme="minorEastAsia"/>
          <w:sz w:val="24"/>
          <w:szCs w:val="24"/>
        </w:rPr>
        <w:t>计算方式</w:t>
      </w:r>
      <w:r>
        <w:rPr>
          <w:rFonts w:asciiTheme="minorEastAsia" w:hAnsiTheme="minorEastAsia"/>
          <w:sz w:val="24"/>
          <w:szCs w:val="24"/>
        </w:rPr>
        <w:t>为</w:t>
      </w:r>
      <w:r>
        <w:rPr>
          <w:rFonts w:hint="eastAsia" w:asciiTheme="minorEastAsia" w:hAnsiTheme="minorEastAsia"/>
          <w:sz w:val="24"/>
          <w:szCs w:val="24"/>
        </w:rPr>
        <w:t>实际申请补助资金*补助</w:t>
      </w:r>
      <w:r>
        <w:rPr>
          <w:rFonts w:asciiTheme="minorEastAsia" w:hAnsiTheme="minorEastAsia"/>
          <w:sz w:val="24"/>
          <w:szCs w:val="24"/>
        </w:rPr>
        <w:t>比例</w:t>
      </w:r>
      <w:r>
        <w:rPr>
          <w:rFonts w:hint="eastAsia" w:asciiTheme="minorEastAsia" w:hAnsiTheme="minorEastAsia"/>
          <w:sz w:val="24"/>
          <w:szCs w:val="24"/>
        </w:rPr>
        <w:t>，具体费用执行标准如下：</w:t>
      </w:r>
    </w:p>
    <w:p w14:paraId="21706E6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若酬金≤基础服务费，则洁源公司按照基础服务费支付费用；</w:t>
      </w:r>
    </w:p>
    <w:p w14:paraId="5D928B4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若酬金＞基础服务费，则洁源公司按照酬金支付费用，不再额外支付基础服务费。</w:t>
      </w:r>
    </w:p>
    <w:p w14:paraId="621EE06C">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.限价</w:t>
      </w:r>
    </w:p>
    <w:p w14:paraId="55C08AE7">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基本服务费用最高限价：9</w:t>
      </w:r>
      <w:r>
        <w:rPr>
          <w:rFonts w:asciiTheme="minorEastAsia" w:hAnsiTheme="minorEastAsia"/>
          <w:sz w:val="24"/>
          <w:szCs w:val="24"/>
        </w:rPr>
        <w:t>.5</w:t>
      </w:r>
      <w:r>
        <w:rPr>
          <w:rFonts w:hint="eastAsia" w:asciiTheme="minorEastAsia" w:hAnsiTheme="minorEastAsia"/>
          <w:sz w:val="24"/>
          <w:szCs w:val="24"/>
        </w:rPr>
        <w:t>万元，超过最高限价的作无效处理。</w:t>
      </w:r>
    </w:p>
    <w:p w14:paraId="0D13E9B7">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酬金补助比例：</w:t>
      </w:r>
      <w:r>
        <w:rPr>
          <w:rFonts w:asciiTheme="minorEastAsia" w:hAnsiTheme="minorEastAsia"/>
          <w:sz w:val="24"/>
          <w:szCs w:val="24"/>
        </w:rPr>
        <w:t>1%</w:t>
      </w:r>
      <w:r>
        <w:rPr>
          <w:rFonts w:hint="eastAsia" w:asciiTheme="minorEastAsia" w:hAnsiTheme="minorEastAsia"/>
          <w:sz w:val="24"/>
          <w:szCs w:val="24"/>
        </w:rPr>
        <w:t>。</w:t>
      </w:r>
    </w:p>
    <w:p w14:paraId="69130E41">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三、投标材料要求</w:t>
      </w:r>
    </w:p>
    <w:p w14:paraId="55B35132">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提供但不限于以下加盖公章复印件材料一套：</w:t>
      </w:r>
    </w:p>
    <w:p w14:paraId="674CB00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1、投标函（原件）</w:t>
      </w:r>
    </w:p>
    <w:p w14:paraId="2AB6855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2、营业执照副本或民办非企业单位登记证书或事业单位法人证书等相关身份证明材料(复印件加盖投标人公章)。</w:t>
      </w:r>
    </w:p>
    <w:p w14:paraId="02409E3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3、若法定代表人参加投标的，须提供本人身份证复印件；若授权代表参加的，须提供法人授权书和授权代表身份证复印件。</w:t>
      </w:r>
    </w:p>
    <w:p w14:paraId="6FDBECE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4、无重大违法记录书面说明（原件）</w:t>
      </w:r>
    </w:p>
    <w:p w14:paraId="06EC555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5、本项目技术方案。</w:t>
      </w:r>
    </w:p>
    <w:p w14:paraId="65C9303F">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四、付款方式</w:t>
      </w:r>
    </w:p>
    <w:p w14:paraId="4BD6C4E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1、本服务基础服务费用支付方式：合同签订后的三十个工作日内，支付合同价款的10%，项目立项申报完成后支付至合同价款的</w:t>
      </w:r>
      <w:r>
        <w:rPr>
          <w:rFonts w:asciiTheme="minorEastAsia" w:hAnsiTheme="minorEastAsia"/>
          <w:sz w:val="24"/>
          <w:szCs w:val="24"/>
        </w:rPr>
        <w:t>5</w:t>
      </w:r>
      <w:r>
        <w:rPr>
          <w:rFonts w:hint="eastAsia" w:asciiTheme="minorEastAsia" w:hAnsiTheme="minorEastAsia"/>
          <w:sz w:val="24"/>
          <w:szCs w:val="24"/>
        </w:rPr>
        <w:t>0%，项目补助资金申报完成后支付至合同价款的</w:t>
      </w:r>
      <w:r>
        <w:rPr>
          <w:rFonts w:asciiTheme="minorEastAsia" w:hAnsiTheme="minorEastAsia"/>
          <w:sz w:val="24"/>
          <w:szCs w:val="24"/>
        </w:rPr>
        <w:t>8</w:t>
      </w:r>
      <w:r>
        <w:rPr>
          <w:rFonts w:hint="eastAsia" w:asciiTheme="minorEastAsia" w:hAnsiTheme="minorEastAsia"/>
          <w:sz w:val="24"/>
          <w:szCs w:val="24"/>
        </w:rPr>
        <w:t>0%，项目竣工验收无任何争议后付清。</w:t>
      </w:r>
    </w:p>
    <w:p w14:paraId="4F461AE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2、本服务酬金支付方式：若酬金＞基础服务费，则补助资金到账后支付酬金超出基础服务费的部分。</w:t>
      </w:r>
    </w:p>
    <w:p w14:paraId="484B22E2">
      <w:pPr>
        <w:spacing w:line="360" w:lineRule="auto"/>
        <w:ind w:firstLine="482" w:firstLineChars="200"/>
        <w:jc w:val="left"/>
        <w:rPr>
          <w:rFonts w:asciiTheme="minorEastAsia" w:hAnsiTheme="minorEastAsia"/>
          <w:sz w:val="24"/>
          <w:szCs w:val="24"/>
        </w:rPr>
      </w:pPr>
      <w:r>
        <w:rPr>
          <w:rFonts w:hint="eastAsia" w:asciiTheme="minorEastAsia" w:hAnsiTheme="minorEastAsia"/>
          <w:b/>
          <w:sz w:val="24"/>
          <w:szCs w:val="24"/>
        </w:rPr>
        <w:t>五.中标模式：</w:t>
      </w:r>
      <w:r>
        <w:rPr>
          <w:rFonts w:hint="eastAsia" w:asciiTheme="minorEastAsia" w:hAnsiTheme="minorEastAsia"/>
          <w:sz w:val="24"/>
          <w:szCs w:val="24"/>
        </w:rPr>
        <w:t>综合评标法。</w:t>
      </w:r>
    </w:p>
    <w:tbl>
      <w:tblPr>
        <w:tblStyle w:val="17"/>
        <w:tblW w:w="8703" w:type="dxa"/>
        <w:jc w:val="center"/>
        <w:tblLayout w:type="fixed"/>
        <w:tblCellMar>
          <w:top w:w="0" w:type="dxa"/>
          <w:left w:w="108" w:type="dxa"/>
          <w:bottom w:w="0" w:type="dxa"/>
          <w:right w:w="108" w:type="dxa"/>
        </w:tblCellMar>
      </w:tblPr>
      <w:tblGrid>
        <w:gridCol w:w="675"/>
        <w:gridCol w:w="1486"/>
        <w:gridCol w:w="6542"/>
      </w:tblGrid>
      <w:tr w14:paraId="3E6AD8BB">
        <w:tblPrEx>
          <w:tblCellMar>
            <w:top w:w="0" w:type="dxa"/>
            <w:left w:w="108" w:type="dxa"/>
            <w:bottom w:w="0" w:type="dxa"/>
            <w:right w:w="108" w:type="dxa"/>
          </w:tblCellMar>
        </w:tblPrEx>
        <w:trPr>
          <w:trHeight w:val="487" w:hRule="atLeast"/>
          <w:jc w:val="center"/>
        </w:trPr>
        <w:tc>
          <w:tcPr>
            <w:tcW w:w="675" w:type="dxa"/>
            <w:tcBorders>
              <w:top w:val="single" w:color="auto" w:sz="4" w:space="0"/>
              <w:left w:val="single" w:color="auto" w:sz="4" w:space="0"/>
              <w:bottom w:val="single" w:color="auto" w:sz="4" w:space="0"/>
              <w:right w:val="single" w:color="auto" w:sz="4" w:space="0"/>
            </w:tcBorders>
          </w:tcPr>
          <w:p w14:paraId="36C1741F">
            <w:pPr>
              <w:spacing w:line="500" w:lineRule="exact"/>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486" w:type="dxa"/>
            <w:tcBorders>
              <w:top w:val="single" w:color="auto" w:sz="4" w:space="0"/>
              <w:left w:val="nil"/>
              <w:bottom w:val="single" w:color="auto" w:sz="4" w:space="0"/>
              <w:right w:val="single" w:color="auto" w:sz="4" w:space="0"/>
            </w:tcBorders>
            <w:vAlign w:val="center"/>
          </w:tcPr>
          <w:p w14:paraId="0C916E8F">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评分项目</w:t>
            </w:r>
          </w:p>
        </w:tc>
        <w:tc>
          <w:tcPr>
            <w:tcW w:w="6542" w:type="dxa"/>
            <w:tcBorders>
              <w:top w:val="single" w:color="auto" w:sz="4" w:space="0"/>
              <w:left w:val="nil"/>
              <w:bottom w:val="single" w:color="auto" w:sz="4" w:space="0"/>
              <w:right w:val="single" w:color="auto" w:sz="4" w:space="0"/>
            </w:tcBorders>
            <w:vAlign w:val="center"/>
          </w:tcPr>
          <w:p w14:paraId="06B6F08F">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评分细则</w:t>
            </w:r>
          </w:p>
        </w:tc>
      </w:tr>
      <w:tr w14:paraId="59BC32B3">
        <w:tblPrEx>
          <w:tblCellMar>
            <w:top w:w="0" w:type="dxa"/>
            <w:left w:w="108" w:type="dxa"/>
            <w:bottom w:w="0" w:type="dxa"/>
            <w:right w:w="108" w:type="dxa"/>
          </w:tblCellMar>
        </w:tblPrEx>
        <w:trPr>
          <w:trHeight w:val="135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37600C">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1486" w:type="dxa"/>
            <w:tcBorders>
              <w:top w:val="single" w:color="auto" w:sz="4" w:space="0"/>
              <w:left w:val="nil"/>
              <w:bottom w:val="single" w:color="auto" w:sz="4" w:space="0"/>
              <w:right w:val="single" w:color="auto" w:sz="4" w:space="0"/>
            </w:tcBorders>
            <w:vAlign w:val="center"/>
          </w:tcPr>
          <w:p w14:paraId="7A4C7C3C">
            <w:pPr>
              <w:jc w:val="center"/>
              <w:rPr>
                <w:rFonts w:ascii="宋体" w:hAnsi="宋体" w:eastAsia="宋体" w:cs="Times New Roman"/>
                <w:color w:val="000000"/>
                <w:szCs w:val="21"/>
              </w:rPr>
            </w:pPr>
            <w:r>
              <w:rPr>
                <w:rFonts w:hint="eastAsia" w:ascii="宋体" w:hAnsi="宋体" w:eastAsia="宋体" w:cs="Times New Roman"/>
                <w:color w:val="000000"/>
                <w:szCs w:val="21"/>
              </w:rPr>
              <w:t>基本服务费投标报价</w:t>
            </w:r>
          </w:p>
          <w:p w14:paraId="7CBF82DD">
            <w:pPr>
              <w:jc w:val="center"/>
              <w:rPr>
                <w:rFonts w:ascii="宋体" w:hAnsi="宋体" w:eastAsia="宋体" w:cs="Times New Roman"/>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2</w:t>
            </w:r>
            <w:r>
              <w:rPr>
                <w:rFonts w:hint="eastAsia" w:ascii="宋体" w:hAnsi="宋体" w:eastAsia="宋体" w:cs="Times New Roman"/>
                <w:color w:val="000000"/>
                <w:szCs w:val="21"/>
              </w:rPr>
              <w:t>0分）</w:t>
            </w:r>
          </w:p>
        </w:tc>
        <w:tc>
          <w:tcPr>
            <w:tcW w:w="6542" w:type="dxa"/>
            <w:tcBorders>
              <w:top w:val="single" w:color="auto" w:sz="4" w:space="0"/>
              <w:left w:val="nil"/>
              <w:bottom w:val="single" w:color="auto" w:sz="4" w:space="0"/>
              <w:right w:val="single" w:color="auto" w:sz="4" w:space="0"/>
            </w:tcBorders>
          </w:tcPr>
          <w:p w14:paraId="3EA877A5">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以满足招标文件要求的有效基本服务费报价（单价总和）的算术平均值为基准价（投标单位≥5家时，去掉一个最高价和一个最低价，以其余评标价的算数平均值的97%为基准值。基本服务费投标报价等于评标基准价的得满分</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0分，其他报价每高于基准价2%扣0.</w:t>
            </w:r>
            <w:r>
              <w:rPr>
                <w:rFonts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分，每低于基准价2%扣0.</w:t>
            </w:r>
            <w:r>
              <w:rPr>
                <w:rFonts w:ascii="宋体" w:hAnsi="宋体" w:eastAsia="宋体" w:cs="Times New Roman"/>
                <w:color w:val="000000" w:themeColor="text1"/>
                <w:szCs w:val="21"/>
                <w14:textFill>
                  <w14:solidFill>
                    <w14:schemeClr w14:val="tx1"/>
                  </w14:solidFill>
                </w14:textFill>
              </w:rPr>
              <w:t>05</w:t>
            </w:r>
            <w:r>
              <w:rPr>
                <w:rFonts w:hint="eastAsia" w:ascii="宋体" w:hAnsi="宋体" w:eastAsia="宋体" w:cs="Times New Roman"/>
                <w:color w:val="000000" w:themeColor="text1"/>
                <w:szCs w:val="21"/>
                <w14:textFill>
                  <w14:solidFill>
                    <w14:schemeClr w14:val="tx1"/>
                  </w14:solidFill>
                </w14:textFill>
              </w:rPr>
              <w:t>分，偏离不足2%的，按照插入法计算得分，保留两位小数（四舍五入）。</w:t>
            </w:r>
          </w:p>
          <w:p w14:paraId="1A7B2BA4">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14:paraId="4B4C1517">
        <w:tblPrEx>
          <w:tblCellMar>
            <w:top w:w="0" w:type="dxa"/>
            <w:left w:w="108" w:type="dxa"/>
            <w:bottom w:w="0" w:type="dxa"/>
            <w:right w:w="108" w:type="dxa"/>
          </w:tblCellMar>
        </w:tblPrEx>
        <w:trPr>
          <w:trHeight w:val="1131" w:hRule="atLeast"/>
          <w:jc w:val="center"/>
        </w:trPr>
        <w:tc>
          <w:tcPr>
            <w:tcW w:w="675" w:type="dxa"/>
            <w:vMerge w:val="restart"/>
            <w:tcBorders>
              <w:top w:val="nil"/>
              <w:left w:val="single" w:color="auto" w:sz="4" w:space="0"/>
              <w:right w:val="single" w:color="auto" w:sz="4" w:space="0"/>
            </w:tcBorders>
            <w:vAlign w:val="center"/>
          </w:tcPr>
          <w:p w14:paraId="2B32D710">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1486" w:type="dxa"/>
            <w:vMerge w:val="restart"/>
            <w:tcBorders>
              <w:top w:val="nil"/>
              <w:left w:val="nil"/>
              <w:right w:val="single" w:color="auto" w:sz="4" w:space="0"/>
            </w:tcBorders>
            <w:vAlign w:val="center"/>
          </w:tcPr>
          <w:p w14:paraId="2B13B394">
            <w:pPr>
              <w:jc w:val="center"/>
              <w:rPr>
                <w:rFonts w:ascii="宋体" w:hAnsi="宋体" w:eastAsia="宋体" w:cs="Times New Roman"/>
                <w:color w:val="000000"/>
                <w:szCs w:val="21"/>
              </w:rPr>
            </w:pPr>
            <w:r>
              <w:rPr>
                <w:rFonts w:hint="eastAsia" w:ascii="宋体" w:hAnsi="宋体" w:eastAsia="宋体" w:cs="Times New Roman"/>
                <w:color w:val="000000"/>
                <w:szCs w:val="21"/>
              </w:rPr>
              <w:t>咨询服务方案</w:t>
            </w:r>
          </w:p>
          <w:p w14:paraId="10B3C8FA">
            <w:pPr>
              <w:jc w:val="center"/>
              <w:rPr>
                <w:rFonts w:ascii="宋体" w:hAnsi="宋体" w:eastAsia="宋体" w:cs="Times New Roman"/>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45</w:t>
            </w:r>
            <w:r>
              <w:rPr>
                <w:rFonts w:hint="eastAsia" w:ascii="宋体" w:hAnsi="宋体" w:eastAsia="宋体" w:cs="Times New Roman"/>
                <w:color w:val="000000"/>
                <w:szCs w:val="21"/>
              </w:rPr>
              <w:t>分）</w:t>
            </w:r>
          </w:p>
        </w:tc>
        <w:tc>
          <w:tcPr>
            <w:tcW w:w="6542" w:type="dxa"/>
            <w:tcBorders>
              <w:top w:val="single" w:color="auto" w:sz="4" w:space="0"/>
              <w:left w:val="nil"/>
              <w:bottom w:val="single" w:color="auto" w:sz="4" w:space="0"/>
              <w:right w:val="single" w:color="auto" w:sz="4" w:space="0"/>
            </w:tcBorders>
            <w:vAlign w:val="center"/>
          </w:tcPr>
          <w:p w14:paraId="334C421F">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1、项目建设背景、需求分析及产出方案（</w:t>
            </w:r>
            <w:r>
              <w:rPr>
                <w:rFonts w:ascii="宋体" w:hAnsi="宋体"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分）：：</w:t>
            </w:r>
          </w:p>
          <w:p w14:paraId="0227DC2A">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须包含：项目建设背景、规划政策符合性、企业发展战略需求分析、项目市场需求分析、项目建设必要性等</w:t>
            </w:r>
          </w:p>
          <w:p w14:paraId="6AAA43BC">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综合评定打分原则：背景分析深刻、政策符合性论证充分、需求分析全面、必要性论证有力，内容全面具体、针对性强得</w:t>
            </w:r>
            <w:r>
              <w:rPr>
                <w:rFonts w:ascii="宋体" w:hAnsi="宋体"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7</w:t>
            </w:r>
            <w:r>
              <w:rPr>
                <w:rFonts w:hint="eastAsia" w:ascii="宋体" w:hAnsi="宋体" w:eastAsia="宋体" w:cs="Times New Roman"/>
                <w:color w:val="000000" w:themeColor="text1"/>
                <w:szCs w:val="21"/>
                <w14:textFill>
                  <w14:solidFill>
                    <w14:schemeClr w14:val="tx1"/>
                  </w14:solidFill>
                </w14:textFill>
              </w:rPr>
              <w:t>（含）分；背景分析较深刻、政策符合性论证较充分、需求分析较全面、必要性论证较有力，内容较全面具体、针对性较强得</w:t>
            </w:r>
            <w:r>
              <w:rPr>
                <w:rFonts w:ascii="宋体" w:hAnsi="宋体" w:eastAsia="宋体" w:cs="Times New Roman"/>
                <w:color w:val="000000" w:themeColor="text1"/>
                <w:szCs w:val="21"/>
                <w14:textFill>
                  <w14:solidFill>
                    <w14:schemeClr w14:val="tx1"/>
                  </w14:solidFill>
                </w14:textFill>
              </w:rPr>
              <w:t>6</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color w:val="000000" w:themeColor="text1"/>
                <w:szCs w:val="21"/>
                <w14:textFill>
                  <w14:solidFill>
                    <w14:schemeClr w14:val="tx1"/>
                  </w14:solidFill>
                </w14:textFill>
              </w:rPr>
              <w:t>（含）分；背景分析不够深刻、政策符合性论证不够充分、需求分析不够全面、必要性论证不够有力，内容不全面具体、针对性弱得2-1（含）分；无相应内容不得分。</w:t>
            </w:r>
          </w:p>
        </w:tc>
      </w:tr>
      <w:tr w14:paraId="66F60323">
        <w:tblPrEx>
          <w:tblCellMar>
            <w:top w:w="0" w:type="dxa"/>
            <w:left w:w="108" w:type="dxa"/>
            <w:bottom w:w="0" w:type="dxa"/>
            <w:right w:w="108" w:type="dxa"/>
          </w:tblCellMar>
        </w:tblPrEx>
        <w:trPr>
          <w:trHeight w:val="284" w:hRule="atLeast"/>
          <w:jc w:val="center"/>
        </w:trPr>
        <w:tc>
          <w:tcPr>
            <w:tcW w:w="675" w:type="dxa"/>
            <w:vMerge w:val="continue"/>
            <w:tcBorders>
              <w:left w:val="single" w:color="auto" w:sz="4" w:space="0"/>
              <w:right w:val="single" w:color="auto" w:sz="4" w:space="0"/>
            </w:tcBorders>
            <w:vAlign w:val="center"/>
          </w:tcPr>
          <w:p w14:paraId="134C5869">
            <w:pPr>
              <w:widowControl/>
              <w:spacing w:line="500" w:lineRule="exact"/>
              <w:jc w:val="left"/>
              <w:rPr>
                <w:rFonts w:ascii="宋体" w:hAnsi="宋体" w:eastAsia="宋体" w:cs="Times New Roman"/>
                <w:color w:val="000000"/>
                <w:szCs w:val="21"/>
              </w:rPr>
            </w:pPr>
          </w:p>
        </w:tc>
        <w:tc>
          <w:tcPr>
            <w:tcW w:w="1486" w:type="dxa"/>
            <w:vMerge w:val="continue"/>
            <w:tcBorders>
              <w:left w:val="nil"/>
              <w:right w:val="single" w:color="auto" w:sz="4" w:space="0"/>
            </w:tcBorders>
            <w:vAlign w:val="center"/>
          </w:tcPr>
          <w:p w14:paraId="2F4C20E9">
            <w:pPr>
              <w:jc w:val="center"/>
              <w:rPr>
                <w:rFonts w:ascii="宋体" w:hAnsi="宋体" w:eastAsia="宋体" w:cs="Times New Roman"/>
                <w:color w:val="000000"/>
                <w:szCs w:val="21"/>
              </w:rPr>
            </w:pPr>
          </w:p>
        </w:tc>
        <w:tc>
          <w:tcPr>
            <w:tcW w:w="6542" w:type="dxa"/>
            <w:tcBorders>
              <w:top w:val="single" w:color="auto" w:sz="4" w:space="0"/>
              <w:left w:val="nil"/>
              <w:bottom w:val="single" w:color="auto" w:sz="4" w:space="0"/>
              <w:right w:val="single" w:color="auto" w:sz="4" w:space="0"/>
            </w:tcBorders>
            <w:vAlign w:val="center"/>
          </w:tcPr>
          <w:p w14:paraId="0FF0D65E">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2、项目建设方案（15分）:</w:t>
            </w:r>
          </w:p>
          <w:p w14:paraId="09DD5A31">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须包含：设备方案、工程方案、节能降碳方案、建设管理方案等。</w:t>
            </w:r>
          </w:p>
          <w:p w14:paraId="76C6F60A">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综合评定打分原则：各方案详细、技术先进、经济合理、可操作性强且相互协调，设备方案选型合理、技术指标先进，工程方案考虑全面、确保影响最小，节能降碳方案分析充分、数据详实，建设管理方案明确可行得15-9（含）分；各方案较详细、技术较先进、经济较合理、可操作性较强且相互基本协调，设备方案选型基本合理、技术指标满足需求，工程方案考虑基本全面、确保影响较小，节能降碳方案分析基本充分、数据较为详实，建设管理方案较为明确可行得9-6（含）分；各方案不够详细、技术一般、经济性一般、可操作性一般且相互协调性较差，设备方案选型不够合理、技术指标一般，工程方案考虑不足、可能影响较大，节能降碳方案分析不足、数据不详实，建设管理方案不明确可行得6-3（含）分；各方案有部分缺失或内容空泛得3-1（含）分；无相应内容不得分。</w:t>
            </w:r>
          </w:p>
        </w:tc>
      </w:tr>
      <w:tr w14:paraId="36205050">
        <w:tblPrEx>
          <w:tblCellMar>
            <w:top w:w="0" w:type="dxa"/>
            <w:left w:w="108" w:type="dxa"/>
            <w:bottom w:w="0" w:type="dxa"/>
            <w:right w:w="108" w:type="dxa"/>
          </w:tblCellMar>
        </w:tblPrEx>
        <w:trPr>
          <w:trHeight w:val="529" w:hRule="atLeast"/>
          <w:jc w:val="center"/>
        </w:trPr>
        <w:tc>
          <w:tcPr>
            <w:tcW w:w="675" w:type="dxa"/>
            <w:vMerge w:val="continue"/>
            <w:tcBorders>
              <w:left w:val="single" w:color="auto" w:sz="4" w:space="0"/>
              <w:right w:val="single" w:color="auto" w:sz="4" w:space="0"/>
            </w:tcBorders>
            <w:vAlign w:val="center"/>
          </w:tcPr>
          <w:p w14:paraId="254211CE">
            <w:pPr>
              <w:widowControl/>
              <w:spacing w:line="500" w:lineRule="exact"/>
              <w:jc w:val="left"/>
              <w:rPr>
                <w:rFonts w:ascii="宋体" w:hAnsi="宋体" w:eastAsia="宋体" w:cs="Times New Roman"/>
                <w:color w:val="000000"/>
                <w:szCs w:val="21"/>
              </w:rPr>
            </w:pPr>
          </w:p>
        </w:tc>
        <w:tc>
          <w:tcPr>
            <w:tcW w:w="1486" w:type="dxa"/>
            <w:vMerge w:val="continue"/>
            <w:tcBorders>
              <w:left w:val="nil"/>
              <w:right w:val="single" w:color="auto" w:sz="4" w:space="0"/>
            </w:tcBorders>
            <w:vAlign w:val="center"/>
          </w:tcPr>
          <w:p w14:paraId="5660423B">
            <w:pPr>
              <w:jc w:val="center"/>
              <w:rPr>
                <w:rFonts w:ascii="宋体" w:hAnsi="宋体" w:eastAsia="宋体" w:cs="Times New Roman"/>
                <w:color w:val="000000"/>
                <w:szCs w:val="21"/>
              </w:rPr>
            </w:pPr>
          </w:p>
        </w:tc>
        <w:tc>
          <w:tcPr>
            <w:tcW w:w="6542" w:type="dxa"/>
            <w:tcBorders>
              <w:top w:val="single" w:color="auto" w:sz="4" w:space="0"/>
              <w:left w:val="nil"/>
              <w:bottom w:val="single" w:color="auto" w:sz="4" w:space="0"/>
              <w:right w:val="single" w:color="auto" w:sz="4" w:space="0"/>
            </w:tcBorders>
            <w:vAlign w:val="center"/>
          </w:tcPr>
          <w:p w14:paraId="0BB320A5">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3、项目投融资及财务方案（</w:t>
            </w:r>
            <w:r>
              <w:rPr>
                <w:rFonts w:ascii="宋体" w:hAnsi="宋体"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分）：</w:t>
            </w:r>
          </w:p>
          <w:p w14:paraId="14CD3F8F">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须包含：投资估算、资金筹措方案、盈利能力分析、国民经济分析等</w:t>
            </w:r>
          </w:p>
          <w:p w14:paraId="3FE5B6B2">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综合评定打分原则：投资估算准确、资金筹措方案可行、盈利能力分析充分、国民经济分析合理得</w:t>
            </w:r>
            <w:r>
              <w:rPr>
                <w:rFonts w:ascii="宋体" w:hAnsi="宋体"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7</w:t>
            </w:r>
            <w:r>
              <w:rPr>
                <w:rFonts w:hint="eastAsia" w:ascii="宋体" w:hAnsi="宋体" w:eastAsia="宋体" w:cs="Times New Roman"/>
                <w:color w:val="000000" w:themeColor="text1"/>
                <w:szCs w:val="21"/>
                <w14:textFill>
                  <w14:solidFill>
                    <w14:schemeClr w14:val="tx1"/>
                  </w14:solidFill>
                </w14:textFill>
              </w:rPr>
              <w:t>（含）分；投资估算较准确、资金筹措方案较可行、盈利能力分析较充分、国民经济分析较合理得</w:t>
            </w:r>
            <w:r>
              <w:rPr>
                <w:rFonts w:ascii="宋体" w:hAnsi="宋体" w:eastAsia="宋体" w:cs="Times New Roman"/>
                <w:color w:val="000000" w:themeColor="text1"/>
                <w:szCs w:val="21"/>
                <w14:textFill>
                  <w14:solidFill>
                    <w14:schemeClr w14:val="tx1"/>
                  </w14:solidFill>
                </w14:textFill>
              </w:rPr>
              <w:t>6</w:t>
            </w:r>
            <w:r>
              <w:rPr>
                <w:rFonts w:hint="eastAsia" w:ascii="宋体" w:hAnsi="宋体" w:eastAsia="宋体" w:cs="Times New Roman"/>
                <w:color w:val="000000" w:themeColor="text1"/>
                <w:szCs w:val="21"/>
                <w14:textFill>
                  <w14:solidFill>
                    <w14:schemeClr w14:val="tx1"/>
                  </w14:solidFill>
                </w14:textFill>
              </w:rPr>
              <w:t>-3（含）分；投资估算不太准确、资金筹措方案不太可行、盈利能力分析不太充分、国民经济分析不太合理得</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-1（含）分；无相应内容不得分。</w:t>
            </w:r>
          </w:p>
        </w:tc>
      </w:tr>
      <w:tr w14:paraId="0821DF02">
        <w:tblPrEx>
          <w:tblCellMar>
            <w:top w:w="0" w:type="dxa"/>
            <w:left w:w="108" w:type="dxa"/>
            <w:bottom w:w="0" w:type="dxa"/>
            <w:right w:w="108" w:type="dxa"/>
          </w:tblCellMar>
        </w:tblPrEx>
        <w:trPr>
          <w:trHeight w:val="529" w:hRule="atLeast"/>
          <w:jc w:val="center"/>
        </w:trPr>
        <w:tc>
          <w:tcPr>
            <w:tcW w:w="675" w:type="dxa"/>
            <w:vMerge w:val="continue"/>
            <w:tcBorders>
              <w:left w:val="single" w:color="auto" w:sz="4" w:space="0"/>
              <w:right w:val="single" w:color="auto" w:sz="4" w:space="0"/>
            </w:tcBorders>
            <w:vAlign w:val="center"/>
          </w:tcPr>
          <w:p w14:paraId="31CBE4B0">
            <w:pPr>
              <w:widowControl/>
              <w:spacing w:line="500" w:lineRule="exact"/>
              <w:jc w:val="left"/>
              <w:rPr>
                <w:rFonts w:ascii="宋体" w:hAnsi="宋体" w:eastAsia="宋体" w:cs="Times New Roman"/>
                <w:color w:val="000000"/>
                <w:szCs w:val="21"/>
              </w:rPr>
            </w:pPr>
          </w:p>
        </w:tc>
        <w:tc>
          <w:tcPr>
            <w:tcW w:w="1486" w:type="dxa"/>
            <w:vMerge w:val="continue"/>
            <w:tcBorders>
              <w:left w:val="nil"/>
              <w:right w:val="single" w:color="auto" w:sz="4" w:space="0"/>
            </w:tcBorders>
            <w:vAlign w:val="center"/>
          </w:tcPr>
          <w:p w14:paraId="00D75592">
            <w:pPr>
              <w:jc w:val="center"/>
              <w:rPr>
                <w:rFonts w:ascii="宋体" w:hAnsi="宋体" w:eastAsia="宋体" w:cs="Times New Roman"/>
                <w:color w:val="000000"/>
                <w:szCs w:val="21"/>
              </w:rPr>
            </w:pPr>
          </w:p>
        </w:tc>
        <w:tc>
          <w:tcPr>
            <w:tcW w:w="6542" w:type="dxa"/>
            <w:tcBorders>
              <w:top w:val="single" w:color="auto" w:sz="4" w:space="0"/>
              <w:left w:val="nil"/>
              <w:bottom w:val="single" w:color="auto" w:sz="4" w:space="0"/>
              <w:right w:val="single" w:color="auto" w:sz="4" w:space="0"/>
            </w:tcBorders>
            <w:vAlign w:val="center"/>
          </w:tcPr>
          <w:p w14:paraId="1C21749C">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4、项目保障措施（</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w:t>
            </w:r>
          </w:p>
          <w:p w14:paraId="25373DD5">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须包含：项目质量、工作进度的保障措施</w:t>
            </w:r>
          </w:p>
          <w:p w14:paraId="31BB234A">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综合评定打分原则：保障措施重点突出、合理明确、针对性、可操作性强得</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分；保障措施合理性、针对性、可操作性一般得</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分；无相应内容不得分。</w:t>
            </w:r>
          </w:p>
        </w:tc>
      </w:tr>
      <w:tr w14:paraId="2EC1AE34">
        <w:tblPrEx>
          <w:tblCellMar>
            <w:top w:w="0" w:type="dxa"/>
            <w:left w:w="108" w:type="dxa"/>
            <w:bottom w:w="0" w:type="dxa"/>
            <w:right w:w="108" w:type="dxa"/>
          </w:tblCellMar>
        </w:tblPrEx>
        <w:trPr>
          <w:trHeight w:val="529" w:hRule="atLeast"/>
          <w:jc w:val="center"/>
        </w:trPr>
        <w:tc>
          <w:tcPr>
            <w:tcW w:w="675" w:type="dxa"/>
            <w:vMerge w:val="continue"/>
            <w:tcBorders>
              <w:left w:val="single" w:color="auto" w:sz="4" w:space="0"/>
              <w:bottom w:val="single" w:color="auto" w:sz="4" w:space="0"/>
              <w:right w:val="single" w:color="auto" w:sz="4" w:space="0"/>
            </w:tcBorders>
            <w:vAlign w:val="center"/>
          </w:tcPr>
          <w:p w14:paraId="2E5B8491">
            <w:pPr>
              <w:widowControl/>
              <w:spacing w:line="500" w:lineRule="exact"/>
              <w:jc w:val="left"/>
              <w:rPr>
                <w:rFonts w:ascii="宋体" w:hAnsi="宋体" w:eastAsia="宋体" w:cs="Times New Roman"/>
                <w:color w:val="000000"/>
                <w:szCs w:val="21"/>
              </w:rPr>
            </w:pPr>
          </w:p>
        </w:tc>
        <w:tc>
          <w:tcPr>
            <w:tcW w:w="1486" w:type="dxa"/>
            <w:vMerge w:val="continue"/>
            <w:tcBorders>
              <w:left w:val="nil"/>
              <w:bottom w:val="single" w:color="auto" w:sz="4" w:space="0"/>
              <w:right w:val="single" w:color="auto" w:sz="4" w:space="0"/>
            </w:tcBorders>
            <w:vAlign w:val="center"/>
          </w:tcPr>
          <w:p w14:paraId="3E4286D6">
            <w:pPr>
              <w:jc w:val="center"/>
              <w:rPr>
                <w:rFonts w:ascii="宋体" w:hAnsi="宋体" w:eastAsia="宋体" w:cs="Times New Roman"/>
                <w:color w:val="000000"/>
                <w:szCs w:val="21"/>
              </w:rPr>
            </w:pPr>
          </w:p>
        </w:tc>
        <w:tc>
          <w:tcPr>
            <w:tcW w:w="6542" w:type="dxa"/>
            <w:tcBorders>
              <w:top w:val="single" w:color="auto" w:sz="4" w:space="0"/>
              <w:left w:val="nil"/>
              <w:bottom w:val="single" w:color="auto" w:sz="4" w:space="0"/>
              <w:right w:val="single" w:color="auto" w:sz="4" w:space="0"/>
            </w:tcBorders>
            <w:vAlign w:val="center"/>
          </w:tcPr>
          <w:p w14:paraId="7EB01A6D">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、服务承诺（</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w:t>
            </w:r>
          </w:p>
          <w:p w14:paraId="18400E39">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须包含：服务目标、服务内容等相关承诺</w:t>
            </w:r>
          </w:p>
          <w:p w14:paraId="3A3700D3">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综合评定打分原则：服务目标、服务内容等相关承诺要素科学、合理、实际可操作性强的得</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分；服务目标基本明确，相关承诺实际可操作性较差得</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分；无相应内容不得分。</w:t>
            </w:r>
          </w:p>
        </w:tc>
      </w:tr>
      <w:tr w14:paraId="3246766D">
        <w:tblPrEx>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right w:val="single" w:color="auto" w:sz="4" w:space="0"/>
            </w:tcBorders>
            <w:vAlign w:val="center"/>
          </w:tcPr>
          <w:p w14:paraId="768B248E">
            <w:pPr>
              <w:widowControl/>
              <w:spacing w:line="500" w:lineRule="exact"/>
              <w:jc w:val="center"/>
              <w:rPr>
                <w:rFonts w:ascii="宋体" w:hAnsi="宋体" w:eastAsia="宋体" w:cs="Times New Roman"/>
                <w:color w:val="000000"/>
                <w:szCs w:val="21"/>
              </w:rPr>
            </w:pPr>
            <w:r>
              <w:rPr>
                <w:rFonts w:ascii="宋体" w:hAnsi="宋体" w:eastAsia="宋体" w:cs="Times New Roman"/>
                <w:color w:val="000000"/>
                <w:szCs w:val="21"/>
              </w:rPr>
              <w:t>4</w:t>
            </w:r>
          </w:p>
        </w:tc>
        <w:tc>
          <w:tcPr>
            <w:tcW w:w="1486" w:type="dxa"/>
            <w:tcBorders>
              <w:top w:val="single" w:color="auto" w:sz="4" w:space="0"/>
              <w:left w:val="nil"/>
              <w:right w:val="single" w:color="auto" w:sz="4" w:space="0"/>
            </w:tcBorders>
            <w:vAlign w:val="center"/>
          </w:tcPr>
          <w:p w14:paraId="2408480C">
            <w:pPr>
              <w:jc w:val="center"/>
              <w:rPr>
                <w:rFonts w:ascii="宋体" w:hAnsi="宋体" w:eastAsia="宋体" w:cs="Times New Roman"/>
                <w:color w:val="000000"/>
                <w:szCs w:val="21"/>
              </w:rPr>
            </w:pPr>
            <w:r>
              <w:rPr>
                <w:rFonts w:ascii="宋体" w:hAnsi="宋体" w:eastAsia="宋体" w:cs="Times New Roman"/>
                <w:color w:val="000000"/>
                <w:szCs w:val="21"/>
              </w:rPr>
              <w:t>项目组成员</w:t>
            </w:r>
          </w:p>
          <w:p w14:paraId="3554E4FA">
            <w:pPr>
              <w:jc w:val="center"/>
              <w:rPr>
                <w:rFonts w:ascii="宋体" w:hAnsi="宋体" w:eastAsia="宋体" w:cs="Times New Roman"/>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10</w:t>
            </w:r>
            <w:r>
              <w:rPr>
                <w:rFonts w:hint="eastAsia" w:ascii="宋体" w:hAnsi="宋体" w:eastAsia="宋体" w:cs="Times New Roman"/>
                <w:color w:val="000000"/>
                <w:szCs w:val="21"/>
              </w:rPr>
              <w:t>分）</w:t>
            </w:r>
          </w:p>
        </w:tc>
        <w:tc>
          <w:tcPr>
            <w:tcW w:w="6542" w:type="dxa"/>
            <w:tcBorders>
              <w:top w:val="single" w:color="auto" w:sz="4" w:space="0"/>
              <w:left w:val="nil"/>
              <w:bottom w:val="single" w:color="auto" w:sz="4" w:space="0"/>
              <w:right w:val="single" w:color="auto" w:sz="4" w:space="0"/>
            </w:tcBorders>
            <w:vAlign w:val="center"/>
          </w:tcPr>
          <w:p w14:paraId="5C192C0C">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项目负责人、结构负责人、电气负责人、建筑负责人、给排水专业负责人具备高级工程师的，每提供上述1个人员得</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分，本项最高得</w:t>
            </w:r>
            <w:r>
              <w:rPr>
                <w:rFonts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lang w:val="en-US" w:eastAsia="zh-CN"/>
                <w14:textFill>
                  <w14:solidFill>
                    <w14:schemeClr w14:val="tx1"/>
                  </w14:solidFill>
                </w14:textFill>
              </w:rPr>
              <w:t>0</w:t>
            </w:r>
            <w:r>
              <w:rPr>
                <w:rFonts w:hint="eastAsia" w:ascii="宋体" w:hAnsi="宋体" w:eastAsia="宋体" w:cs="Times New Roman"/>
                <w:color w:val="000000" w:themeColor="text1"/>
                <w:szCs w:val="21"/>
                <w14:textFill>
                  <w14:solidFill>
                    <w14:schemeClr w14:val="tx1"/>
                  </w14:solidFill>
                </w14:textFill>
              </w:rPr>
              <w:t>分；</w:t>
            </w:r>
          </w:p>
          <w:p w14:paraId="2066CA5D">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注：（1）须提供上述人员名单、职称证书等相关证明材料的原件复印件并加盖供应商公章，不提供不得分。</w:t>
            </w:r>
          </w:p>
        </w:tc>
      </w:tr>
      <w:tr w14:paraId="3889D7F2">
        <w:tblPrEx>
          <w:tblCellMar>
            <w:top w:w="0" w:type="dxa"/>
            <w:left w:w="108" w:type="dxa"/>
            <w:bottom w:w="0" w:type="dxa"/>
            <w:right w:w="108" w:type="dxa"/>
          </w:tblCellMar>
        </w:tblPrEx>
        <w:trPr>
          <w:trHeight w:val="529" w:hRule="atLeast"/>
          <w:jc w:val="center"/>
        </w:trPr>
        <w:tc>
          <w:tcPr>
            <w:tcW w:w="675" w:type="dxa"/>
            <w:vMerge w:val="restart"/>
            <w:tcBorders>
              <w:top w:val="single" w:color="auto" w:sz="4" w:space="0"/>
              <w:left w:val="single" w:color="auto" w:sz="4" w:space="0"/>
              <w:right w:val="single" w:color="auto" w:sz="4" w:space="0"/>
            </w:tcBorders>
            <w:vAlign w:val="center"/>
          </w:tcPr>
          <w:p w14:paraId="20DCA49F">
            <w:pPr>
              <w:widowControl/>
              <w:spacing w:line="500" w:lineRule="exact"/>
              <w:jc w:val="center"/>
              <w:rPr>
                <w:rFonts w:ascii="宋体" w:hAnsi="宋体" w:eastAsia="宋体" w:cs="Times New Roman"/>
                <w:color w:val="000000"/>
                <w:szCs w:val="21"/>
              </w:rPr>
            </w:pPr>
            <w:r>
              <w:rPr>
                <w:rFonts w:ascii="宋体" w:hAnsi="宋体" w:eastAsia="宋体" w:cs="Times New Roman"/>
                <w:color w:val="000000"/>
                <w:szCs w:val="21"/>
              </w:rPr>
              <w:t>5</w:t>
            </w:r>
          </w:p>
        </w:tc>
        <w:tc>
          <w:tcPr>
            <w:tcW w:w="1486" w:type="dxa"/>
            <w:vMerge w:val="restart"/>
            <w:tcBorders>
              <w:top w:val="single" w:color="auto" w:sz="4" w:space="0"/>
              <w:left w:val="nil"/>
              <w:right w:val="single" w:color="auto" w:sz="4" w:space="0"/>
            </w:tcBorders>
            <w:vAlign w:val="center"/>
          </w:tcPr>
          <w:p w14:paraId="54E9AA18">
            <w:pPr>
              <w:jc w:val="center"/>
              <w:rPr>
                <w:rFonts w:ascii="宋体" w:hAnsi="宋体" w:eastAsia="宋体" w:cs="Times New Roman"/>
                <w:color w:val="000000"/>
                <w:szCs w:val="21"/>
              </w:rPr>
            </w:pPr>
            <w:r>
              <w:rPr>
                <w:rFonts w:hint="eastAsia" w:ascii="宋体" w:hAnsi="宋体" w:eastAsia="宋体" w:cs="Times New Roman"/>
                <w:color w:val="000000"/>
                <w:szCs w:val="21"/>
              </w:rPr>
              <w:t>企业业绩</w:t>
            </w:r>
          </w:p>
          <w:p w14:paraId="6D9D7001">
            <w:pPr>
              <w:jc w:val="center"/>
              <w:rPr>
                <w:rFonts w:ascii="宋体" w:hAnsi="宋体" w:eastAsia="宋体" w:cs="Times New Roman"/>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15</w:t>
            </w:r>
            <w:r>
              <w:rPr>
                <w:rFonts w:hint="eastAsia" w:ascii="宋体" w:hAnsi="宋体" w:eastAsia="宋体" w:cs="Times New Roman"/>
                <w:color w:val="000000"/>
                <w:szCs w:val="21"/>
              </w:rPr>
              <w:t>分）</w:t>
            </w:r>
          </w:p>
        </w:tc>
        <w:tc>
          <w:tcPr>
            <w:tcW w:w="6542" w:type="dxa"/>
            <w:tcBorders>
              <w:top w:val="single" w:color="auto" w:sz="4" w:space="0"/>
              <w:left w:val="nil"/>
              <w:bottom w:val="single" w:color="auto" w:sz="4" w:space="0"/>
              <w:right w:val="single" w:color="auto" w:sz="4" w:space="0"/>
            </w:tcBorders>
            <w:vAlign w:val="center"/>
          </w:tcPr>
          <w:p w14:paraId="3EFB6C26">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1、咨询服务业绩（10分）</w:t>
            </w:r>
          </w:p>
          <w:p w14:paraId="7D0F083A">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投标人具自2022年1月1日以来，投标方承担过污水处理厂项目建议书或者可行性研究报告编制的，每一项得2分，满分10分。</w:t>
            </w:r>
          </w:p>
          <w:p w14:paraId="3181DAC9">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注：证明材料需提供咨询合同和立项报批文件扉页，证明材料须体现咨询单位名称，时间以合同时间为准。</w:t>
            </w:r>
          </w:p>
        </w:tc>
      </w:tr>
      <w:tr w14:paraId="0282254D">
        <w:tblPrEx>
          <w:tblCellMar>
            <w:top w:w="0" w:type="dxa"/>
            <w:left w:w="108" w:type="dxa"/>
            <w:bottom w:w="0" w:type="dxa"/>
            <w:right w:w="108" w:type="dxa"/>
          </w:tblCellMar>
        </w:tblPrEx>
        <w:trPr>
          <w:trHeight w:val="529" w:hRule="atLeast"/>
          <w:jc w:val="center"/>
        </w:trPr>
        <w:tc>
          <w:tcPr>
            <w:tcW w:w="675" w:type="dxa"/>
            <w:vMerge w:val="continue"/>
            <w:tcBorders>
              <w:left w:val="single" w:color="auto" w:sz="4" w:space="0"/>
              <w:bottom w:val="single" w:color="auto" w:sz="4" w:space="0"/>
              <w:right w:val="single" w:color="auto" w:sz="4" w:space="0"/>
            </w:tcBorders>
            <w:vAlign w:val="center"/>
          </w:tcPr>
          <w:p w14:paraId="62D527D4">
            <w:pPr>
              <w:widowControl/>
              <w:spacing w:line="500" w:lineRule="exact"/>
              <w:jc w:val="center"/>
              <w:rPr>
                <w:rFonts w:ascii="宋体" w:hAnsi="宋体" w:eastAsia="宋体" w:cs="Times New Roman"/>
                <w:color w:val="000000"/>
                <w:szCs w:val="21"/>
              </w:rPr>
            </w:pPr>
          </w:p>
        </w:tc>
        <w:tc>
          <w:tcPr>
            <w:tcW w:w="1486" w:type="dxa"/>
            <w:vMerge w:val="continue"/>
            <w:tcBorders>
              <w:left w:val="nil"/>
              <w:bottom w:val="single" w:color="auto" w:sz="4" w:space="0"/>
              <w:right w:val="single" w:color="auto" w:sz="4" w:space="0"/>
            </w:tcBorders>
            <w:vAlign w:val="center"/>
          </w:tcPr>
          <w:p w14:paraId="619323D2">
            <w:pPr>
              <w:jc w:val="center"/>
              <w:rPr>
                <w:rFonts w:ascii="宋体" w:hAnsi="宋体" w:eastAsia="宋体" w:cs="Times New Roman"/>
                <w:color w:val="000000"/>
                <w:szCs w:val="21"/>
              </w:rPr>
            </w:pPr>
          </w:p>
        </w:tc>
        <w:tc>
          <w:tcPr>
            <w:tcW w:w="6542" w:type="dxa"/>
            <w:tcBorders>
              <w:top w:val="single" w:color="auto" w:sz="4" w:space="0"/>
              <w:left w:val="nil"/>
              <w:bottom w:val="single" w:color="auto" w:sz="4" w:space="0"/>
              <w:right w:val="single" w:color="auto" w:sz="4" w:space="0"/>
            </w:tcBorders>
            <w:vAlign w:val="center"/>
          </w:tcPr>
          <w:p w14:paraId="68D33380">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2、资金申请业绩（</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w:t>
            </w:r>
          </w:p>
          <w:p w14:paraId="59C8BB25">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投标人具自2022年1月1日以来，投标方协助甲方完成污水处理厂项目国家补助的，每项得5分，满分</w:t>
            </w:r>
            <w:r>
              <w:rPr>
                <w:rFonts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分。</w:t>
            </w:r>
          </w:p>
          <w:p w14:paraId="076C43FD">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w:t>
            </w:r>
            <w:r>
              <w:rPr>
                <w:rFonts w:ascii="宋体" w:hAnsi="宋体" w:eastAsia="宋体" w:cs="Times New Roman"/>
                <w:color w:val="000000" w:themeColor="text1"/>
                <w:szCs w:val="21"/>
                <w14:textFill>
                  <w14:solidFill>
                    <w14:schemeClr w14:val="tx1"/>
                  </w14:solidFill>
                </w14:textFill>
              </w:rPr>
              <w:t>证明材料需提供立项报批文件扉页和备案或批复文件，证明材料须体现咨询单位名称和补贴资金使用计划，时间以备案或批复文件时间为准。</w:t>
            </w:r>
          </w:p>
        </w:tc>
      </w:tr>
      <w:tr w14:paraId="241F17D8">
        <w:tblPrEx>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D2CA19">
            <w:pPr>
              <w:widowControl/>
              <w:spacing w:line="500" w:lineRule="exact"/>
              <w:jc w:val="center"/>
              <w:rPr>
                <w:rFonts w:ascii="宋体" w:hAnsi="宋体" w:eastAsia="宋体" w:cs="Times New Roman"/>
                <w:color w:val="000000"/>
                <w:szCs w:val="21"/>
              </w:rPr>
            </w:pPr>
            <w:r>
              <w:rPr>
                <w:rFonts w:ascii="宋体" w:hAnsi="宋体" w:eastAsia="宋体" w:cs="Times New Roman"/>
                <w:color w:val="000000"/>
                <w:szCs w:val="21"/>
              </w:rPr>
              <w:t>6</w:t>
            </w:r>
          </w:p>
        </w:tc>
        <w:tc>
          <w:tcPr>
            <w:tcW w:w="1486" w:type="dxa"/>
            <w:tcBorders>
              <w:top w:val="single" w:color="auto" w:sz="4" w:space="0"/>
              <w:left w:val="nil"/>
              <w:bottom w:val="single" w:color="auto" w:sz="4" w:space="0"/>
              <w:right w:val="single" w:color="auto" w:sz="4" w:space="0"/>
            </w:tcBorders>
            <w:vAlign w:val="center"/>
          </w:tcPr>
          <w:p w14:paraId="724B06D4">
            <w:pPr>
              <w:jc w:val="center"/>
              <w:rPr>
                <w:rFonts w:ascii="宋体" w:hAnsi="宋体" w:eastAsia="宋体" w:cs="Times New Roman"/>
                <w:color w:val="000000"/>
                <w:szCs w:val="21"/>
              </w:rPr>
            </w:pPr>
            <w:r>
              <w:rPr>
                <w:rFonts w:hint="eastAsia" w:ascii="宋体" w:hAnsi="宋体" w:eastAsia="宋体" w:cs="Times New Roman"/>
                <w:color w:val="000000"/>
                <w:szCs w:val="21"/>
              </w:rPr>
              <w:t>企业综合实力</w:t>
            </w:r>
          </w:p>
          <w:p w14:paraId="3B22EE60">
            <w:pPr>
              <w:jc w:val="center"/>
              <w:rPr>
                <w:rFonts w:ascii="宋体" w:hAnsi="宋体" w:eastAsia="宋体" w:cs="Times New Roman"/>
                <w:color w:val="000000"/>
                <w:szCs w:val="21"/>
              </w:rPr>
            </w:pPr>
            <w:r>
              <w:rPr>
                <w:rFonts w:hint="eastAsia" w:ascii="宋体" w:hAnsi="宋体" w:eastAsia="宋体" w:cs="Times New Roman"/>
                <w:color w:val="000000"/>
                <w:szCs w:val="21"/>
              </w:rPr>
              <w:t>（10分）</w:t>
            </w:r>
          </w:p>
        </w:tc>
        <w:tc>
          <w:tcPr>
            <w:tcW w:w="6542" w:type="dxa"/>
            <w:tcBorders>
              <w:top w:val="single" w:color="auto" w:sz="4" w:space="0"/>
              <w:left w:val="nil"/>
              <w:bottom w:val="single" w:color="auto" w:sz="4" w:space="0"/>
              <w:right w:val="single" w:color="auto" w:sz="4" w:space="0"/>
            </w:tcBorders>
            <w:vAlign w:val="center"/>
          </w:tcPr>
          <w:p w14:paraId="3C147E11">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供应商获得过省级咨询工程协会颁发的排水工程咨询获奖的，每一项得3分，满分6分。（需提供获奖证书复印件加盖供应商公章）</w:t>
            </w:r>
          </w:p>
          <w:p w14:paraId="518ED251">
            <w:pPr>
              <w:spacing w:line="400" w:lineRule="exact"/>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供应商同时具有IS09001认证证书、IS014001认证证书和工程咨询综合信息甲级证书者得4分；只具备其中二项者得2分；具备一项者得1分。本项最高得4分。均不具备者不得分（需提供有效期内的证书复印件加盖供应商公章）</w:t>
            </w:r>
          </w:p>
        </w:tc>
      </w:tr>
    </w:tbl>
    <w:p w14:paraId="32F0456D">
      <w:pPr>
        <w:spacing w:line="360" w:lineRule="auto"/>
        <w:ind w:firstLine="480" w:firstLineChars="200"/>
        <w:jc w:val="left"/>
        <w:rPr>
          <w:rFonts w:asciiTheme="minorEastAsia" w:hAnsiTheme="minorEastAsia"/>
          <w:sz w:val="24"/>
          <w:szCs w:val="24"/>
        </w:rPr>
      </w:pPr>
    </w:p>
    <w:p w14:paraId="7081760C">
      <w:pPr>
        <w:spacing w:line="360" w:lineRule="auto"/>
        <w:ind w:firstLine="482" w:firstLineChars="200"/>
        <w:jc w:val="left"/>
        <w:rPr>
          <w:rFonts w:asciiTheme="minorEastAsia" w:hAnsiTheme="minorEastAsia"/>
          <w:sz w:val="24"/>
          <w:szCs w:val="24"/>
        </w:rPr>
      </w:pPr>
      <w:r>
        <w:rPr>
          <w:rFonts w:hint="eastAsia" w:asciiTheme="minorEastAsia" w:hAnsiTheme="minorEastAsia"/>
          <w:b/>
          <w:sz w:val="24"/>
          <w:szCs w:val="24"/>
        </w:rPr>
        <w:t>六.合同签订：</w:t>
      </w:r>
      <w:r>
        <w:rPr>
          <w:rFonts w:hint="eastAsia" w:asciiTheme="minorEastAsia" w:hAnsiTheme="minorEastAsia"/>
          <w:sz w:val="24"/>
          <w:szCs w:val="24"/>
        </w:rPr>
        <w:t>若贵单位中标，我方将通知贵单位签订后续合同。</w:t>
      </w:r>
    </w:p>
    <w:p w14:paraId="2239A6C7">
      <w:pPr>
        <w:spacing w:line="560" w:lineRule="exact"/>
        <w:ind w:firstLine="482" w:firstLineChars="200"/>
        <w:rPr>
          <w:rFonts w:ascii="宋体" w:hAnsi="宋体" w:cs="仿宋"/>
          <w:b/>
          <w:sz w:val="24"/>
          <w:szCs w:val="24"/>
        </w:rPr>
      </w:pPr>
      <w:r>
        <w:rPr>
          <w:rFonts w:hint="eastAsia" w:ascii="宋体" w:hAnsi="宋体" w:cs="仿宋"/>
          <w:b/>
          <w:sz w:val="24"/>
          <w:szCs w:val="24"/>
        </w:rPr>
        <w:t>七</w:t>
      </w:r>
      <w:r>
        <w:rPr>
          <w:rFonts w:ascii="宋体" w:hAnsi="宋体" w:cs="仿宋"/>
          <w:b/>
          <w:sz w:val="24"/>
          <w:szCs w:val="24"/>
        </w:rPr>
        <w:t>、投标文件的</w:t>
      </w:r>
      <w:r>
        <w:rPr>
          <w:rFonts w:hint="eastAsia" w:ascii="宋体" w:hAnsi="宋体" w:cs="仿宋"/>
          <w:b/>
          <w:sz w:val="24"/>
          <w:szCs w:val="24"/>
        </w:rPr>
        <w:t>中标、</w:t>
      </w:r>
      <w:r>
        <w:rPr>
          <w:rFonts w:ascii="宋体" w:hAnsi="宋体" w:cs="仿宋"/>
          <w:b/>
          <w:sz w:val="24"/>
          <w:szCs w:val="24"/>
        </w:rPr>
        <w:t>提交方式、时间及地点</w:t>
      </w:r>
    </w:p>
    <w:p w14:paraId="2C69D0CB">
      <w:pPr>
        <w:spacing w:line="560" w:lineRule="exact"/>
        <w:ind w:firstLine="480" w:firstLineChars="200"/>
        <w:rPr>
          <w:rFonts w:ascii="宋体" w:hAnsi="宋体" w:cs="仿宋"/>
          <w:sz w:val="24"/>
          <w:szCs w:val="24"/>
        </w:rPr>
      </w:pPr>
      <w:r>
        <w:rPr>
          <w:rFonts w:hint="eastAsia" w:ascii="宋体" w:hAnsi="宋体" w:cs="仿宋"/>
          <w:sz w:val="24"/>
          <w:szCs w:val="24"/>
        </w:rPr>
        <w:t>1</w:t>
      </w:r>
      <w:r>
        <w:rPr>
          <w:rFonts w:ascii="宋体" w:hAnsi="宋体" w:cs="仿宋"/>
          <w:sz w:val="24"/>
          <w:szCs w:val="24"/>
        </w:rPr>
        <w:t>、提交方式：</w:t>
      </w:r>
      <w:r>
        <w:rPr>
          <w:rFonts w:hint="eastAsia" w:ascii="宋体" w:hAnsi="宋体" w:cs="仿宋"/>
          <w:sz w:val="24"/>
          <w:szCs w:val="24"/>
        </w:rPr>
        <w:t>投标文件必须按要求密封</w:t>
      </w:r>
      <w:r>
        <w:rPr>
          <w:rFonts w:ascii="宋体" w:hAnsi="宋体" w:cs="仿宋"/>
          <w:sz w:val="24"/>
          <w:szCs w:val="24"/>
        </w:rPr>
        <w:t>，并</w:t>
      </w:r>
      <w:r>
        <w:rPr>
          <w:rFonts w:hint="eastAsia" w:ascii="宋体" w:hAnsi="宋体" w:cs="仿宋"/>
          <w:sz w:val="24"/>
          <w:szCs w:val="24"/>
        </w:rPr>
        <w:t>将纸质投标文件</w:t>
      </w:r>
      <w:r>
        <w:rPr>
          <w:rFonts w:ascii="宋体" w:hAnsi="宋体" w:cs="仿宋"/>
          <w:sz w:val="24"/>
          <w:szCs w:val="24"/>
        </w:rPr>
        <w:t>直接送达</w:t>
      </w:r>
      <w:r>
        <w:rPr>
          <w:rFonts w:hint="eastAsia" w:ascii="宋体" w:hAnsi="宋体" w:cs="仿宋"/>
          <w:sz w:val="24"/>
          <w:szCs w:val="24"/>
        </w:rPr>
        <w:t>或者邮寄</w:t>
      </w:r>
      <w:r>
        <w:rPr>
          <w:rFonts w:ascii="宋体" w:hAnsi="宋体" w:cs="仿宋"/>
          <w:sz w:val="24"/>
          <w:szCs w:val="24"/>
        </w:rPr>
        <w:t>。</w:t>
      </w:r>
    </w:p>
    <w:p w14:paraId="18836F2C">
      <w:pPr>
        <w:spacing w:line="560" w:lineRule="exact"/>
        <w:ind w:firstLine="480" w:firstLineChars="200"/>
        <w:rPr>
          <w:rFonts w:ascii="宋体" w:hAnsi="宋体" w:cs="仿宋"/>
          <w:sz w:val="24"/>
          <w:szCs w:val="24"/>
        </w:rPr>
      </w:pPr>
      <w:r>
        <w:rPr>
          <w:rFonts w:hint="eastAsia" w:ascii="宋体" w:hAnsi="宋体" w:cs="仿宋"/>
          <w:sz w:val="24"/>
          <w:szCs w:val="24"/>
        </w:rPr>
        <w:t>2</w:t>
      </w:r>
      <w:r>
        <w:rPr>
          <w:rFonts w:ascii="宋体" w:hAnsi="宋体" w:cs="仿宋"/>
          <w:sz w:val="24"/>
          <w:szCs w:val="24"/>
        </w:rPr>
        <w:t>、提交地点：</w:t>
      </w:r>
      <w:r>
        <w:rPr>
          <w:rFonts w:hint="eastAsia" w:ascii="宋体" w:hAnsi="宋体" w:cs="仿宋"/>
          <w:sz w:val="24"/>
          <w:szCs w:val="24"/>
        </w:rPr>
        <w:t xml:space="preserve">扬州市广陵区汤汪路1号 </w:t>
      </w:r>
      <w:r>
        <w:rPr>
          <w:rFonts w:ascii="宋体" w:hAnsi="宋体" w:cs="仿宋"/>
          <w:sz w:val="24"/>
          <w:szCs w:val="24"/>
        </w:rPr>
        <w:t>扬州洁源环境股份有限公司</w:t>
      </w:r>
      <w:r>
        <w:rPr>
          <w:rFonts w:hint="eastAsia" w:ascii="宋体" w:hAnsi="宋体" w:cs="仿宋"/>
          <w:sz w:val="24"/>
          <w:szCs w:val="24"/>
        </w:rPr>
        <w:t>物资采购处2</w:t>
      </w:r>
      <w:r>
        <w:rPr>
          <w:rFonts w:ascii="宋体" w:hAnsi="宋体" w:cs="仿宋"/>
          <w:sz w:val="24"/>
          <w:szCs w:val="24"/>
        </w:rPr>
        <w:t>11</w:t>
      </w:r>
      <w:r>
        <w:rPr>
          <w:rFonts w:hint="eastAsia" w:ascii="宋体" w:hAnsi="宋体" w:cs="仿宋"/>
          <w:sz w:val="24"/>
          <w:szCs w:val="24"/>
        </w:rPr>
        <w:t>办公室</w:t>
      </w:r>
    </w:p>
    <w:p w14:paraId="2F952279">
      <w:pPr>
        <w:spacing w:line="560" w:lineRule="exact"/>
        <w:ind w:firstLine="480" w:firstLineChars="200"/>
        <w:rPr>
          <w:rFonts w:ascii="宋体" w:hAnsi="宋体" w:cs="仿宋"/>
          <w:sz w:val="24"/>
          <w:szCs w:val="24"/>
        </w:rPr>
      </w:pPr>
      <w:r>
        <w:rPr>
          <w:rFonts w:hint="eastAsia" w:ascii="宋体" w:hAnsi="宋体" w:cs="仿宋"/>
          <w:sz w:val="24"/>
          <w:szCs w:val="24"/>
        </w:rPr>
        <w:t>3</w:t>
      </w:r>
      <w:r>
        <w:rPr>
          <w:rFonts w:ascii="宋体" w:hAnsi="宋体" w:cs="仿宋"/>
          <w:sz w:val="24"/>
          <w:szCs w:val="24"/>
        </w:rPr>
        <w:t>、联系人：</w:t>
      </w:r>
      <w:r>
        <w:rPr>
          <w:rFonts w:hint="eastAsia" w:ascii="宋体" w:hAnsi="宋体" w:cs="仿宋"/>
          <w:sz w:val="24"/>
          <w:szCs w:val="24"/>
        </w:rPr>
        <w:t>董石语</w:t>
      </w:r>
      <w:r>
        <w:rPr>
          <w:rFonts w:ascii="宋体" w:hAnsi="宋体" w:cs="仿宋"/>
          <w:sz w:val="24"/>
          <w:szCs w:val="24"/>
        </w:rPr>
        <w:t xml:space="preserve">    联系电话：13382752557</w:t>
      </w:r>
    </w:p>
    <w:p w14:paraId="7A3446D6">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、提交</w:t>
      </w:r>
      <w:r>
        <w:rPr>
          <w:rFonts w:hint="eastAsia" w:ascii="宋体" w:hAnsi="宋体" w:cs="仿宋"/>
          <w:sz w:val="24"/>
          <w:szCs w:val="24"/>
        </w:rPr>
        <w:t>截止</w:t>
      </w:r>
      <w:r>
        <w:rPr>
          <w:rFonts w:ascii="宋体" w:hAnsi="宋体" w:cs="仿宋"/>
          <w:sz w:val="24"/>
          <w:szCs w:val="24"/>
        </w:rPr>
        <w:t>时间：</w:t>
      </w:r>
      <w:r>
        <w:rPr>
          <w:rFonts w:hint="eastAsia" w:ascii="宋体" w:hAnsi="宋体" w:cs="仿宋"/>
          <w:sz w:val="24"/>
          <w:szCs w:val="24"/>
        </w:rPr>
        <w:t xml:space="preserve"> 2025</w:t>
      </w:r>
      <w:r>
        <w:rPr>
          <w:rFonts w:ascii="宋体" w:hAnsi="宋体" w:cs="仿宋"/>
          <w:sz w:val="24"/>
          <w:szCs w:val="24"/>
        </w:rPr>
        <w:t>年</w:t>
      </w:r>
      <w:r>
        <w:rPr>
          <w:rFonts w:hint="eastAsia" w:ascii="宋体" w:hAnsi="宋体" w:cs="仿宋"/>
          <w:sz w:val="24"/>
          <w:szCs w:val="24"/>
          <w:highlight w:val="none"/>
        </w:rPr>
        <w:t>5</w:t>
      </w:r>
      <w:r>
        <w:rPr>
          <w:rFonts w:ascii="宋体" w:hAnsi="宋体" w:cs="仿宋"/>
          <w:sz w:val="24"/>
          <w:szCs w:val="24"/>
          <w:highlight w:val="none"/>
        </w:rPr>
        <w:t>月</w:t>
      </w:r>
      <w:r>
        <w:rPr>
          <w:rFonts w:hint="eastAsia" w:ascii="宋体" w:hAnsi="宋体" w:cs="仿宋"/>
          <w:color w:val="000000" w:themeColor="text1"/>
          <w:sz w:val="24"/>
          <w:szCs w:val="24"/>
          <w:highlight w:val="none"/>
          <w:lang w:val="en-US" w:eastAsia="zh-CN"/>
          <w14:textFill>
            <w14:solidFill>
              <w14:schemeClr w14:val="tx1"/>
            </w14:solidFill>
          </w14:textFill>
        </w:rPr>
        <w:t>26</w:t>
      </w:r>
      <w:bookmarkStart w:id="0" w:name="_GoBack"/>
      <w:bookmarkEnd w:id="0"/>
      <w:r>
        <w:rPr>
          <w:rFonts w:ascii="宋体" w:hAnsi="宋体" w:cs="仿宋"/>
          <w:sz w:val="24"/>
          <w:szCs w:val="24"/>
          <w:highlight w:val="none"/>
        </w:rPr>
        <w:t>日</w:t>
      </w:r>
      <w:r>
        <w:rPr>
          <w:rFonts w:hint="eastAsia" w:ascii="宋体" w:hAnsi="宋体" w:cs="仿宋"/>
          <w:sz w:val="24"/>
          <w:szCs w:val="24"/>
          <w:highlight w:val="none"/>
        </w:rPr>
        <w:t>上午</w:t>
      </w:r>
      <w:r>
        <w:rPr>
          <w:rFonts w:ascii="宋体" w:hAnsi="宋体" w:cs="仿宋"/>
          <w:sz w:val="24"/>
          <w:szCs w:val="24"/>
          <w:highlight w:val="none"/>
        </w:rPr>
        <w:t>1</w:t>
      </w:r>
      <w:r>
        <w:rPr>
          <w:rFonts w:hint="eastAsia" w:ascii="宋体" w:hAnsi="宋体" w:cs="仿宋"/>
          <w:sz w:val="24"/>
          <w:szCs w:val="24"/>
          <w:highlight w:val="none"/>
        </w:rPr>
        <w:t>0</w:t>
      </w:r>
      <w:r>
        <w:rPr>
          <w:rFonts w:ascii="宋体" w:hAnsi="宋体" w:cs="仿宋"/>
          <w:sz w:val="24"/>
          <w:szCs w:val="24"/>
          <w:highlight w:val="none"/>
        </w:rPr>
        <w:t>：</w:t>
      </w:r>
      <w:r>
        <w:rPr>
          <w:rFonts w:hint="eastAsia" w:ascii="宋体" w:hAnsi="宋体" w:cs="仿宋"/>
          <w:sz w:val="24"/>
          <w:szCs w:val="24"/>
          <w:highlight w:val="none"/>
        </w:rPr>
        <w:t>0</w:t>
      </w:r>
      <w:r>
        <w:rPr>
          <w:rFonts w:ascii="宋体" w:hAnsi="宋体" w:cs="仿宋"/>
          <w:sz w:val="24"/>
          <w:szCs w:val="24"/>
          <w:highlight w:val="none"/>
        </w:rPr>
        <w:t>0前</w:t>
      </w:r>
      <w:r>
        <w:rPr>
          <w:rFonts w:hint="eastAsia" w:ascii="宋体" w:hAnsi="宋体" w:cs="仿宋"/>
          <w:sz w:val="24"/>
          <w:szCs w:val="24"/>
        </w:rPr>
        <w:t>将纸质投标文件邮寄或送达我单位，超过投标截止时间送达的文件不予接受（采用邮寄方式的以我单位签收时间为准）</w:t>
      </w:r>
      <w:r>
        <w:rPr>
          <w:rFonts w:ascii="宋体" w:hAnsi="宋体" w:cs="仿宋"/>
          <w:sz w:val="24"/>
          <w:szCs w:val="24"/>
        </w:rPr>
        <w:t>。</w:t>
      </w:r>
    </w:p>
    <w:p w14:paraId="007C4ABA">
      <w:pPr>
        <w:spacing w:line="360" w:lineRule="auto"/>
        <w:ind w:firstLine="480" w:firstLineChars="200"/>
        <w:jc w:val="left"/>
        <w:rPr>
          <w:rFonts w:ascii="宋体" w:hAnsi="宋体" w:cs="仿宋"/>
          <w:sz w:val="24"/>
          <w:szCs w:val="24"/>
        </w:rPr>
      </w:pPr>
      <w:r>
        <w:rPr>
          <w:rFonts w:hint="eastAsia" w:ascii="宋体" w:hAnsi="宋体" w:cs="仿宋"/>
          <w:sz w:val="24"/>
          <w:szCs w:val="24"/>
        </w:rPr>
        <w:t>5</w:t>
      </w:r>
      <w:r>
        <w:rPr>
          <w:rFonts w:ascii="宋体" w:hAnsi="宋体" w:cs="仿宋"/>
          <w:sz w:val="24"/>
          <w:szCs w:val="24"/>
        </w:rPr>
        <w:t>、参加投标企业的文件一概不退，资料封存归档。</w:t>
      </w:r>
    </w:p>
    <w:p w14:paraId="1440D838">
      <w:pPr>
        <w:rPr>
          <w:rFonts w:ascii="宋体" w:hAnsi="宋体" w:cs="仿宋"/>
          <w:sz w:val="24"/>
          <w:szCs w:val="24"/>
        </w:rPr>
      </w:pPr>
      <w:r>
        <w:rPr>
          <w:rFonts w:ascii="宋体" w:hAnsi="宋体" w:cs="仿宋"/>
          <w:sz w:val="24"/>
          <w:szCs w:val="24"/>
        </w:rPr>
        <w:br w:type="page"/>
      </w:r>
    </w:p>
    <w:p w14:paraId="22F5F817">
      <w:pPr>
        <w:numPr>
          <w:ilvl w:val="0"/>
          <w:numId w:val="3"/>
        </w:numPr>
        <w:spacing w:line="360" w:lineRule="auto"/>
        <w:ind w:firstLine="482" w:firstLineChars="200"/>
        <w:jc w:val="left"/>
        <w:rPr>
          <w:rFonts w:ascii="宋体" w:hAnsi="宋体" w:cs="仿宋"/>
          <w:b/>
          <w:sz w:val="24"/>
          <w:szCs w:val="24"/>
        </w:rPr>
      </w:pPr>
      <w:r>
        <w:rPr>
          <w:rFonts w:hint="eastAsia" w:ascii="宋体" w:hAnsi="宋体" w:cs="仿宋"/>
          <w:b/>
          <w:sz w:val="24"/>
          <w:szCs w:val="24"/>
        </w:rPr>
        <w:t>资格证明文件及开标一览表</w:t>
      </w:r>
    </w:p>
    <w:p w14:paraId="66B80951">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投标函格式</w:t>
      </w:r>
    </w:p>
    <w:p w14:paraId="6236A6C3">
      <w:pPr>
        <w:pStyle w:val="53"/>
        <w:spacing w:before="0" w:after="0"/>
        <w:ind w:firstLine="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致：扬州洁源环境股份有限公司</w:t>
      </w:r>
    </w:p>
    <w:p w14:paraId="658CE223">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根据贵方的</w:t>
      </w:r>
      <w:r>
        <w:rPr>
          <w:rFonts w:hint="eastAsia" w:ascii="宋体" w:hAnsi="宋体" w:cs="宋体"/>
          <w:color w:val="000000" w:themeColor="text1"/>
          <w:kern w:val="2"/>
          <w:sz w:val="21"/>
          <w:szCs w:val="21"/>
          <w:u w:val="single"/>
          <w14:textFill>
            <w14:solidFill>
              <w14:schemeClr w14:val="tx1"/>
            </w14:solidFill>
          </w14:textFill>
        </w:rPr>
        <w:t>扬州市中心城区城镇污水处理设施更新改造工程咨询服务项目</w:t>
      </w:r>
      <w:r>
        <w:rPr>
          <w:rFonts w:hint="eastAsia" w:ascii="宋体" w:hAnsi="宋体" w:cs="宋体"/>
          <w:color w:val="000000" w:themeColor="text1"/>
          <w:kern w:val="2"/>
          <w:sz w:val="21"/>
          <w:szCs w:val="21"/>
          <w14:textFill>
            <w14:solidFill>
              <w14:schemeClr w14:val="tx1"/>
            </w14:solidFill>
          </w14:textFill>
        </w:rPr>
        <w:t>招标文件，正式授权下述签字___________(姓名)代表我方______________（投标人的名称），全权处理本次项目投标的有关事宜。</w:t>
      </w:r>
    </w:p>
    <w:p w14:paraId="185B7559">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据此函，__________签字人兹宣布同意如下：</w:t>
      </w:r>
    </w:p>
    <w:p w14:paraId="1117E768">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1.按招标文件规定的各项要求，向买方提供所需货物与服务。</w:t>
      </w:r>
    </w:p>
    <w:p w14:paraId="07330F33">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2.我们完全理解贵方不一定将合同授予最低报价的投标人。</w:t>
      </w:r>
    </w:p>
    <w:p w14:paraId="7B85FEAD">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3.我们已详细审核全部招标文件及其有效补充文件，我们知道必须放弃提出含糊不清或误解问题的权利。</w:t>
      </w:r>
    </w:p>
    <w:p w14:paraId="0AB475B0">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4.我们同意从规定的开标日期起遵循本投标文件，并在规定的投标有效期期满之前均具有约束力。</w:t>
      </w:r>
    </w:p>
    <w:p w14:paraId="293D9D62">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5.同意向贵方提供贵方可能另外要求的与投标有关的任何证据或资料，并保证我方已提供和将要提供的文件是真实的、准确的。</w:t>
      </w:r>
    </w:p>
    <w:p w14:paraId="4E276DFE">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6.一旦我方中标,我方将根据招标文件的规定，严格履行合同的责任和义务,并保证在招标文件规定的时间完成项目，交付买方验收、使用。</w:t>
      </w:r>
    </w:p>
    <w:p w14:paraId="11DE4DDE">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7.与本投标有关的正式通讯地址为：</w:t>
      </w:r>
    </w:p>
    <w:p w14:paraId="1098174A">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址：</w:t>
      </w:r>
    </w:p>
    <w:p w14:paraId="4F084EFE">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邮 编：</w:t>
      </w:r>
    </w:p>
    <w:p w14:paraId="030B3F08">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电 话： </w:t>
      </w:r>
    </w:p>
    <w:p w14:paraId="3274CDB7">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传 真： </w:t>
      </w:r>
    </w:p>
    <w:p w14:paraId="6CC32A07">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投标人开户行：</w:t>
      </w:r>
    </w:p>
    <w:p w14:paraId="0184F47F">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账 户： </w:t>
      </w:r>
    </w:p>
    <w:p w14:paraId="0F9996F7">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行 号：</w:t>
      </w:r>
    </w:p>
    <w:p w14:paraId="59B796F8">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法定代表人或授权代表（签字）： </w:t>
      </w:r>
    </w:p>
    <w:p w14:paraId="7994B3ED">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投标人名称（公章）： </w:t>
      </w:r>
    </w:p>
    <w:p w14:paraId="14243BF5">
      <w:pPr>
        <w:pStyle w:val="53"/>
        <w:spacing w:before="0" w:after="0"/>
        <w:ind w:firstLine="420" w:firstLineChars="20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日 期：________年____月____日</w:t>
      </w:r>
    </w:p>
    <w:p w14:paraId="00F3D251">
      <w:pPr>
        <w:spacing w:line="360" w:lineRule="auto"/>
        <w:ind w:firstLine="422" w:firstLineChars="200"/>
        <w:jc w:val="center"/>
        <w:rPr>
          <w:rFonts w:ascii="宋体" w:hAnsi="宋体" w:cs="宋体"/>
          <w:b/>
          <w:bCs/>
          <w:color w:val="000000" w:themeColor="text1"/>
          <w:szCs w:val="21"/>
          <w14:textFill>
            <w14:solidFill>
              <w14:schemeClr w14:val="tx1"/>
            </w14:solidFill>
          </w14:textFill>
        </w:rPr>
      </w:pPr>
    </w:p>
    <w:p w14:paraId="2BC27F7A">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r>
        <w:rPr>
          <w:rFonts w:ascii="宋体" w:hAnsi="宋体" w:cs="宋体"/>
          <w:b/>
          <w:bCs/>
          <w:color w:val="000000" w:themeColor="text1"/>
          <w14:textFill>
            <w14:solidFill>
              <w14:schemeClr w14:val="tx1"/>
            </w14:solidFill>
          </w14:textFill>
        </w:rPr>
        <w:t xml:space="preserve"> </w:t>
      </w:r>
    </w:p>
    <w:p w14:paraId="61D18CD2">
      <w:pPr>
        <w:pStyle w:val="54"/>
        <w:spacing w:after="312" w:afterLines="100" w:line="360" w:lineRule="auto"/>
        <w:ind w:firstLine="0" w:firstLineChars="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法人授权书</w:t>
      </w:r>
    </w:p>
    <w:p w14:paraId="4EFC9045">
      <w:pPr>
        <w:pStyle w:val="54"/>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本授权书声明：________________（投标人名称）授权________________（被授权人的姓名）为我方就</w:t>
      </w:r>
      <w:r>
        <w:rPr>
          <w:rFonts w:hint="eastAsia" w:ascii="宋体" w:hAnsi="宋体" w:cs="宋体"/>
          <w:color w:val="000000" w:themeColor="text1"/>
          <w:sz w:val="21"/>
          <w:szCs w:val="21"/>
          <w:u w:val="single"/>
          <w14:textFill>
            <w14:solidFill>
              <w14:schemeClr w14:val="tx1"/>
            </w14:solidFill>
          </w14:textFill>
        </w:rPr>
        <w:t>扬州市中心城区城镇污水处理设施更新改造工程咨询服务项目</w:t>
      </w:r>
      <w:r>
        <w:rPr>
          <w:rFonts w:hint="eastAsia" w:ascii="宋体" w:hAnsi="宋体" w:cs="宋体"/>
          <w:color w:val="000000" w:themeColor="text1"/>
          <w:sz w:val="21"/>
          <w:szCs w:val="21"/>
          <w14:textFill>
            <w14:solidFill>
              <w14:schemeClr w14:val="tx1"/>
            </w14:solidFill>
          </w14:textFill>
        </w:rPr>
        <w:t>采购活动的合法代理人，以本公司名义全权处理一切与该项目采购有关的事务。</w:t>
      </w:r>
    </w:p>
    <w:p w14:paraId="0EDB4FA6">
      <w:pPr>
        <w:pStyle w:val="54"/>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本授权书于______年____月____日起生效，特此声明。</w:t>
      </w:r>
    </w:p>
    <w:p w14:paraId="376F05E1">
      <w:pPr>
        <w:pStyle w:val="54"/>
        <w:spacing w:line="360" w:lineRule="auto"/>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p>
    <w:p w14:paraId="14B761EE">
      <w:pPr>
        <w:pStyle w:val="54"/>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被授权人签字：</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45794B1E">
      <w:pPr>
        <w:pStyle w:val="54"/>
        <w:spacing w:line="360" w:lineRule="auto"/>
        <w:ind w:firstLine="42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联系电话（手机）：</w:t>
      </w:r>
      <w:r>
        <w:rPr>
          <w:rFonts w:hint="eastAsia" w:ascii="宋体" w:hAnsi="宋体" w:cs="宋体"/>
          <w:color w:val="000000" w:themeColor="text1"/>
          <w:sz w:val="21"/>
          <w:szCs w:val="21"/>
          <w:u w:val="single"/>
          <w14:textFill>
            <w14:solidFill>
              <w14:schemeClr w14:val="tx1"/>
            </w14:solidFill>
          </w14:textFill>
        </w:rPr>
        <w:t xml:space="preserve">                             </w:t>
      </w:r>
    </w:p>
    <w:p w14:paraId="66323259">
      <w:pPr>
        <w:pStyle w:val="54"/>
        <w:spacing w:line="360" w:lineRule="auto"/>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单位名称：_____________________________________</w:t>
      </w:r>
    </w:p>
    <w:p w14:paraId="257EC6AD">
      <w:pPr>
        <w:pStyle w:val="54"/>
        <w:spacing w:line="360" w:lineRule="auto"/>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授权单位盖章：_________________________________</w:t>
      </w:r>
    </w:p>
    <w:p w14:paraId="3CBA720E">
      <w:pPr>
        <w:pStyle w:val="54"/>
        <w:spacing w:line="360" w:lineRule="auto"/>
        <w:ind w:firstLine="42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地址：</w:t>
      </w:r>
      <w:r>
        <w:rPr>
          <w:rFonts w:hint="eastAsia" w:ascii="宋体" w:hAnsi="宋体" w:cs="宋体"/>
          <w:color w:val="000000" w:themeColor="text1"/>
          <w:sz w:val="21"/>
          <w:szCs w:val="21"/>
          <w:u w:val="single"/>
          <w14:textFill>
            <w14:solidFill>
              <w14:schemeClr w14:val="tx1"/>
            </w14:solidFill>
          </w14:textFill>
        </w:rPr>
        <w:t xml:space="preserve">                                         </w:t>
      </w:r>
    </w:p>
    <w:p w14:paraId="4C6CD24C">
      <w:pPr>
        <w:pStyle w:val="54"/>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32DB6AEE">
      <w:pPr>
        <w:spacing w:line="460" w:lineRule="exact"/>
        <w:rPr>
          <w:rFonts w:ascii="宋体" w:hAnsi="宋体" w:cs="宋体"/>
          <w:bCs/>
          <w:color w:val="000000" w:themeColor="text1"/>
          <w:szCs w:val="21"/>
          <w14:textFill>
            <w14:solidFill>
              <w14:schemeClr w14:val="tx1"/>
            </w14:solidFill>
          </w14:textFill>
        </w:rPr>
      </w:pPr>
    </w:p>
    <w:p w14:paraId="1CD32321">
      <w:pPr>
        <w:spacing w:line="460" w:lineRule="exact"/>
        <w:rPr>
          <w:rFonts w:ascii="宋体" w:hAnsi="宋体" w:cs="宋体"/>
          <w:bCs/>
          <w:color w:val="000000" w:themeColor="text1"/>
          <w:sz w:val="24"/>
          <w14:textFill>
            <w14:solidFill>
              <w14:schemeClr w14:val="tx1"/>
            </w14:solidFill>
          </w14:textFill>
        </w:rPr>
      </w:pPr>
    </w:p>
    <w:p w14:paraId="1037B79F">
      <w:pPr>
        <w:spacing w:line="4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被授权人身份证复印件：</w:t>
      </w:r>
    </w:p>
    <w:p w14:paraId="026FC860">
      <w:pPr>
        <w:spacing w:line="460" w:lineRule="exact"/>
        <w:rPr>
          <w:rFonts w:ascii="宋体" w:hAnsi="宋体" w:cs="宋体"/>
          <w:bCs/>
          <w:color w:val="000000" w:themeColor="text1"/>
          <w:sz w:val="24"/>
          <w14:textFill>
            <w14:solidFill>
              <w14:schemeClr w14:val="tx1"/>
            </w14:solidFill>
          </w14:textFill>
        </w:rPr>
      </w:pPr>
    </w:p>
    <w:p w14:paraId="68B4C1F4">
      <w:pPr>
        <w:spacing w:line="460" w:lineRule="exact"/>
        <w:rPr>
          <w:rFonts w:ascii="宋体" w:hAnsi="宋体" w:cs="宋体"/>
          <w:bCs/>
          <w:color w:val="000000" w:themeColor="text1"/>
          <w:sz w:val="24"/>
          <w14:textFill>
            <w14:solidFill>
              <w14:schemeClr w14:val="tx1"/>
            </w14:solidFill>
          </w14:textFill>
        </w:rPr>
      </w:pPr>
    </w:p>
    <w:p w14:paraId="49542E6A">
      <w:pPr>
        <w:spacing w:line="460" w:lineRule="exact"/>
        <w:rPr>
          <w:rFonts w:ascii="宋体" w:hAnsi="宋体" w:cs="宋体"/>
          <w:bCs/>
          <w:color w:val="000000" w:themeColor="text1"/>
          <w:sz w:val="24"/>
          <w14:textFill>
            <w14:solidFill>
              <w14:schemeClr w14:val="tx1"/>
            </w14:solidFill>
          </w14:textFill>
        </w:rPr>
      </w:pPr>
    </w:p>
    <w:p w14:paraId="08B86016">
      <w:pPr>
        <w:spacing w:line="460" w:lineRule="exact"/>
        <w:rPr>
          <w:rFonts w:ascii="宋体" w:hAnsi="宋体" w:cs="宋体"/>
          <w:bCs/>
          <w:color w:val="000000" w:themeColor="text1"/>
          <w:sz w:val="24"/>
          <w14:textFill>
            <w14:solidFill>
              <w14:schemeClr w14:val="tx1"/>
            </w14:solidFill>
          </w14:textFill>
        </w:rPr>
      </w:pPr>
    </w:p>
    <w:p w14:paraId="0D34A665">
      <w:pPr>
        <w:spacing w:line="460" w:lineRule="exact"/>
        <w:rPr>
          <w:rFonts w:ascii="宋体" w:hAnsi="宋体" w:cs="宋体"/>
          <w:bCs/>
          <w:color w:val="000000" w:themeColor="text1"/>
          <w:sz w:val="24"/>
          <w14:textFill>
            <w14:solidFill>
              <w14:schemeClr w14:val="tx1"/>
            </w14:solidFill>
          </w14:textFill>
        </w:rPr>
      </w:pPr>
    </w:p>
    <w:p w14:paraId="33DD1220">
      <w:pPr>
        <w:spacing w:line="460" w:lineRule="exact"/>
        <w:rPr>
          <w:rFonts w:ascii="宋体" w:hAnsi="宋体" w:cs="宋体"/>
          <w:bCs/>
          <w:color w:val="000000" w:themeColor="text1"/>
          <w:sz w:val="24"/>
          <w14:textFill>
            <w14:solidFill>
              <w14:schemeClr w14:val="tx1"/>
            </w14:solidFill>
          </w14:textFill>
        </w:rPr>
      </w:pPr>
    </w:p>
    <w:p w14:paraId="08AD696D">
      <w:pPr>
        <w:spacing w:line="460" w:lineRule="exact"/>
        <w:rPr>
          <w:rFonts w:ascii="宋体" w:hAnsi="宋体" w:cs="宋体"/>
          <w:bCs/>
          <w:color w:val="000000" w:themeColor="text1"/>
          <w:sz w:val="24"/>
          <w14:textFill>
            <w14:solidFill>
              <w14:schemeClr w14:val="tx1"/>
            </w14:solidFill>
          </w14:textFill>
        </w:rPr>
      </w:pPr>
    </w:p>
    <w:p w14:paraId="54F9D1EB">
      <w:pPr>
        <w:spacing w:line="460" w:lineRule="exact"/>
        <w:rPr>
          <w:rFonts w:ascii="宋体" w:hAnsi="宋体" w:cs="宋体"/>
          <w:bCs/>
          <w:color w:val="000000" w:themeColor="text1"/>
          <w:sz w:val="24"/>
          <w14:textFill>
            <w14:solidFill>
              <w14:schemeClr w14:val="tx1"/>
            </w14:solidFill>
          </w14:textFill>
        </w:rPr>
      </w:pPr>
    </w:p>
    <w:p w14:paraId="7C2B7D31">
      <w:pPr>
        <w:spacing w:line="460" w:lineRule="exact"/>
        <w:rPr>
          <w:rFonts w:ascii="宋体" w:hAnsi="宋体" w:cs="宋体"/>
          <w:bCs/>
          <w:color w:val="000000" w:themeColor="text1"/>
          <w:sz w:val="24"/>
          <w14:textFill>
            <w14:solidFill>
              <w14:schemeClr w14:val="tx1"/>
            </w14:solidFill>
          </w14:textFill>
        </w:rPr>
      </w:pPr>
    </w:p>
    <w:p w14:paraId="6B8587A8">
      <w:pPr>
        <w:spacing w:line="460" w:lineRule="exact"/>
        <w:rPr>
          <w:rFonts w:ascii="宋体" w:hAnsi="宋体" w:cs="宋体"/>
          <w:bCs/>
          <w:color w:val="000000" w:themeColor="text1"/>
          <w:sz w:val="24"/>
          <w14:textFill>
            <w14:solidFill>
              <w14:schemeClr w14:val="tx1"/>
            </w14:solidFill>
          </w14:textFill>
        </w:rPr>
      </w:pPr>
    </w:p>
    <w:p w14:paraId="3422252F">
      <w:pPr>
        <w:spacing w:line="460" w:lineRule="exact"/>
        <w:rPr>
          <w:rFonts w:ascii="宋体" w:hAnsi="宋体" w:cs="宋体"/>
          <w:bCs/>
          <w:color w:val="000000" w:themeColor="text1"/>
          <w:sz w:val="24"/>
          <w14:textFill>
            <w14:solidFill>
              <w14:schemeClr w14:val="tx1"/>
            </w14:solidFill>
          </w14:textFill>
        </w:rPr>
      </w:pPr>
    </w:p>
    <w:p w14:paraId="085863DE">
      <w:pPr>
        <w:spacing w:line="460" w:lineRule="exact"/>
        <w:rPr>
          <w:rFonts w:ascii="宋体" w:hAnsi="宋体" w:cs="宋体"/>
          <w:bCs/>
          <w:color w:val="000000" w:themeColor="text1"/>
          <w:sz w:val="24"/>
          <w14:textFill>
            <w14:solidFill>
              <w14:schemeClr w14:val="tx1"/>
            </w14:solidFill>
          </w14:textFill>
        </w:rPr>
      </w:pPr>
    </w:p>
    <w:p w14:paraId="07B90961">
      <w:pPr>
        <w:spacing w:line="460" w:lineRule="exact"/>
        <w:rPr>
          <w:rFonts w:ascii="宋体" w:hAnsi="宋体" w:cs="宋体"/>
          <w:bCs/>
          <w:color w:val="000000" w:themeColor="text1"/>
          <w:sz w:val="24"/>
          <w14:textFill>
            <w14:solidFill>
              <w14:schemeClr w14:val="tx1"/>
            </w14:solidFill>
          </w14:textFill>
        </w:rPr>
      </w:pPr>
    </w:p>
    <w:p w14:paraId="5A0091F8">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参加本次采购活动前 3 年内在经营活动中没有重大违法记录的书面声明</w:t>
      </w:r>
    </w:p>
    <w:p w14:paraId="248EDAB0">
      <w:pPr>
        <w:spacing w:line="360" w:lineRule="auto"/>
        <w:rPr>
          <w:rFonts w:ascii="宋体" w:hAnsi="宋体" w:cs="宋体"/>
          <w:color w:val="000000" w:themeColor="text1"/>
          <w:szCs w:val="21"/>
          <w14:textFill>
            <w14:solidFill>
              <w14:schemeClr w14:val="tx1"/>
            </w14:solidFill>
          </w14:textFill>
        </w:rPr>
      </w:pPr>
    </w:p>
    <w:p w14:paraId="43F5DB20">
      <w:pPr>
        <w:spacing w:after="312" w:afterLines="10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声  明</w:t>
      </w:r>
    </w:p>
    <w:p w14:paraId="4D5EF74E">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0CAB8849">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供应商名称（公章）：</w:t>
      </w:r>
    </w:p>
    <w:p w14:paraId="5A2C4B7B">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法定代表人或授权代表签字：_______________________</w:t>
      </w:r>
    </w:p>
    <w:p w14:paraId="1838D506">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日期：______年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14:paraId="59311956">
      <w:pPr>
        <w:pStyle w:val="11"/>
        <w:numPr>
          <w:ilvl w:val="0"/>
          <w:numId w:val="0"/>
        </w:numPr>
        <w:rPr>
          <w:rFonts w:ascii="宋体" w:hAnsi="宋体" w:cs="宋体"/>
          <w:bCs/>
          <w:color w:val="000000" w:themeColor="text1"/>
          <w:sz w:val="24"/>
          <w14:textFill>
            <w14:solidFill>
              <w14:schemeClr w14:val="tx1"/>
            </w14:solidFill>
          </w14:textFill>
        </w:rPr>
      </w:pPr>
    </w:p>
    <w:p w14:paraId="5171A0C1">
      <w:pPr>
        <w:pStyle w:val="11"/>
        <w:numPr>
          <w:ilvl w:val="0"/>
          <w:numId w:val="0"/>
        </w:numPr>
        <w:rPr>
          <w:rFonts w:ascii="宋体" w:hAnsi="宋体" w:cs="宋体"/>
          <w:bCs/>
          <w:color w:val="000000" w:themeColor="text1"/>
          <w:sz w:val="24"/>
          <w14:textFill>
            <w14:solidFill>
              <w14:schemeClr w14:val="tx1"/>
            </w14:solidFill>
          </w14:textFill>
        </w:rPr>
      </w:pPr>
    </w:p>
    <w:p w14:paraId="583AD562">
      <w:pPr>
        <w:pStyle w:val="11"/>
        <w:numPr>
          <w:ilvl w:val="0"/>
          <w:numId w:val="0"/>
        </w:numPr>
        <w:rPr>
          <w:rFonts w:ascii="宋体" w:hAnsi="宋体" w:cs="宋体"/>
          <w:bCs/>
          <w:color w:val="000000" w:themeColor="text1"/>
          <w:sz w:val="24"/>
          <w14:textFill>
            <w14:solidFill>
              <w14:schemeClr w14:val="tx1"/>
            </w14:solidFill>
          </w14:textFill>
        </w:rPr>
      </w:pPr>
    </w:p>
    <w:p w14:paraId="61CA4CDF">
      <w:pPr>
        <w:pStyle w:val="11"/>
        <w:numPr>
          <w:ilvl w:val="0"/>
          <w:numId w:val="0"/>
        </w:numPr>
        <w:rPr>
          <w:rFonts w:ascii="宋体" w:hAnsi="宋体" w:cs="宋体"/>
          <w:bCs/>
          <w:color w:val="000000" w:themeColor="text1"/>
          <w:sz w:val="24"/>
          <w14:textFill>
            <w14:solidFill>
              <w14:schemeClr w14:val="tx1"/>
            </w14:solidFill>
          </w14:textFill>
        </w:rPr>
      </w:pPr>
    </w:p>
    <w:p w14:paraId="733EDD7D">
      <w:pPr>
        <w:pStyle w:val="11"/>
        <w:numPr>
          <w:ilvl w:val="0"/>
          <w:numId w:val="0"/>
        </w:numPr>
        <w:rPr>
          <w:rFonts w:ascii="宋体" w:hAnsi="宋体" w:cs="宋体"/>
          <w:bCs/>
          <w:color w:val="000000" w:themeColor="text1"/>
          <w:sz w:val="24"/>
          <w14:textFill>
            <w14:solidFill>
              <w14:schemeClr w14:val="tx1"/>
            </w14:solidFill>
          </w14:textFill>
        </w:rPr>
      </w:pPr>
    </w:p>
    <w:p w14:paraId="0E7A2333">
      <w:pPr>
        <w:pStyle w:val="11"/>
        <w:numPr>
          <w:ilvl w:val="0"/>
          <w:numId w:val="0"/>
        </w:numPr>
        <w:rPr>
          <w:rFonts w:ascii="宋体" w:hAnsi="宋体" w:cs="宋体"/>
          <w:bCs/>
          <w:color w:val="000000" w:themeColor="text1"/>
          <w:sz w:val="24"/>
          <w14:textFill>
            <w14:solidFill>
              <w14:schemeClr w14:val="tx1"/>
            </w14:solidFill>
          </w14:textFill>
        </w:rPr>
      </w:pPr>
    </w:p>
    <w:p w14:paraId="60CF65A6">
      <w:pPr>
        <w:pStyle w:val="11"/>
        <w:numPr>
          <w:ilvl w:val="0"/>
          <w:numId w:val="0"/>
        </w:numPr>
        <w:rPr>
          <w:rFonts w:ascii="宋体" w:hAnsi="宋体" w:cs="宋体"/>
          <w:bCs/>
          <w:color w:val="000000" w:themeColor="text1"/>
          <w:sz w:val="24"/>
          <w14:textFill>
            <w14:solidFill>
              <w14:schemeClr w14:val="tx1"/>
            </w14:solidFill>
          </w14:textFill>
        </w:rPr>
      </w:pPr>
    </w:p>
    <w:p w14:paraId="6111C6DE">
      <w:pPr>
        <w:pStyle w:val="11"/>
        <w:numPr>
          <w:ilvl w:val="0"/>
          <w:numId w:val="0"/>
        </w:numPr>
        <w:rPr>
          <w:rFonts w:ascii="宋体" w:hAnsi="宋体" w:cs="宋体"/>
          <w:bCs/>
          <w:color w:val="000000" w:themeColor="text1"/>
          <w:sz w:val="24"/>
          <w14:textFill>
            <w14:solidFill>
              <w14:schemeClr w14:val="tx1"/>
            </w14:solidFill>
          </w14:textFill>
        </w:rPr>
      </w:pPr>
    </w:p>
    <w:p w14:paraId="56D3C615">
      <w:pPr>
        <w:pStyle w:val="11"/>
        <w:numPr>
          <w:ilvl w:val="0"/>
          <w:numId w:val="0"/>
        </w:numPr>
        <w:rPr>
          <w:rFonts w:ascii="宋体" w:hAnsi="宋体" w:cs="宋体"/>
          <w:bCs/>
          <w:color w:val="000000" w:themeColor="text1"/>
          <w:sz w:val="24"/>
          <w14:textFill>
            <w14:solidFill>
              <w14:schemeClr w14:val="tx1"/>
            </w14:solidFill>
          </w14:textFill>
        </w:rPr>
      </w:pPr>
    </w:p>
    <w:p w14:paraId="1398C969">
      <w:pPr>
        <w:pStyle w:val="11"/>
        <w:numPr>
          <w:ilvl w:val="0"/>
          <w:numId w:val="0"/>
        </w:numPr>
        <w:rPr>
          <w:rFonts w:ascii="宋体" w:hAnsi="宋体" w:cs="宋体"/>
          <w:bCs/>
          <w:color w:val="000000" w:themeColor="text1"/>
          <w:sz w:val="24"/>
          <w14:textFill>
            <w14:solidFill>
              <w14:schemeClr w14:val="tx1"/>
            </w14:solidFill>
          </w14:textFill>
        </w:rPr>
      </w:pPr>
    </w:p>
    <w:p w14:paraId="15925470">
      <w:pPr>
        <w:pStyle w:val="11"/>
        <w:numPr>
          <w:ilvl w:val="0"/>
          <w:numId w:val="0"/>
        </w:numPr>
        <w:rPr>
          <w:rFonts w:ascii="宋体" w:hAnsi="宋体" w:cs="宋体"/>
          <w:bCs/>
          <w:color w:val="000000" w:themeColor="text1"/>
          <w:sz w:val="24"/>
          <w14:textFill>
            <w14:solidFill>
              <w14:schemeClr w14:val="tx1"/>
            </w14:solidFill>
          </w14:textFill>
        </w:rPr>
      </w:pPr>
    </w:p>
    <w:p w14:paraId="73D182DD">
      <w:pPr>
        <w:pStyle w:val="11"/>
        <w:numPr>
          <w:ilvl w:val="0"/>
          <w:numId w:val="0"/>
        </w:numPr>
        <w:rPr>
          <w:rFonts w:ascii="宋体" w:hAnsi="宋体" w:cs="宋体"/>
          <w:bCs/>
          <w:color w:val="000000" w:themeColor="text1"/>
          <w:sz w:val="24"/>
          <w14:textFill>
            <w14:solidFill>
              <w14:schemeClr w14:val="tx1"/>
            </w14:solidFill>
          </w14:textFill>
        </w:rPr>
      </w:pPr>
    </w:p>
    <w:p w14:paraId="3225AA81">
      <w:pPr>
        <w:pStyle w:val="11"/>
        <w:numPr>
          <w:ilvl w:val="0"/>
          <w:numId w:val="0"/>
        </w:numPr>
        <w:rPr>
          <w:rFonts w:ascii="宋体" w:hAnsi="宋体" w:cs="宋体"/>
          <w:bCs/>
          <w:color w:val="000000" w:themeColor="text1"/>
          <w:sz w:val="24"/>
          <w14:textFill>
            <w14:solidFill>
              <w14:schemeClr w14:val="tx1"/>
            </w14:solidFill>
          </w14:textFill>
        </w:rPr>
      </w:pPr>
    </w:p>
    <w:p w14:paraId="53B3FC07">
      <w:pPr>
        <w:pStyle w:val="11"/>
        <w:numPr>
          <w:ilvl w:val="0"/>
          <w:numId w:val="0"/>
        </w:numPr>
        <w:rPr>
          <w:rFonts w:ascii="宋体" w:hAnsi="宋体" w:cs="宋体"/>
          <w:bCs/>
          <w:color w:val="000000" w:themeColor="text1"/>
          <w:sz w:val="24"/>
          <w14:textFill>
            <w14:solidFill>
              <w14:schemeClr w14:val="tx1"/>
            </w14:solidFill>
          </w14:textFill>
        </w:rPr>
      </w:pPr>
    </w:p>
    <w:p w14:paraId="1CC4DD26">
      <w:pPr>
        <w:pStyle w:val="11"/>
        <w:numPr>
          <w:ilvl w:val="0"/>
          <w:numId w:val="0"/>
        </w:numPr>
        <w:rPr>
          <w:rFonts w:ascii="宋体" w:hAnsi="宋体" w:cs="宋体"/>
          <w:bCs/>
          <w:color w:val="000000" w:themeColor="text1"/>
          <w:sz w:val="24"/>
          <w14:textFill>
            <w14:solidFill>
              <w14:schemeClr w14:val="tx1"/>
            </w14:solidFill>
          </w14:textFill>
        </w:rPr>
      </w:pPr>
    </w:p>
    <w:p w14:paraId="407F9A0D">
      <w:pPr>
        <w:pStyle w:val="11"/>
        <w:numPr>
          <w:ilvl w:val="0"/>
          <w:numId w:val="0"/>
        </w:numPr>
        <w:rPr>
          <w:rFonts w:ascii="宋体" w:hAnsi="宋体" w:cs="宋体"/>
          <w:bCs/>
          <w:color w:val="000000" w:themeColor="text1"/>
          <w:sz w:val="24"/>
          <w14:textFill>
            <w14:solidFill>
              <w14:schemeClr w14:val="tx1"/>
            </w14:solidFill>
          </w14:textFill>
        </w:rPr>
      </w:pPr>
    </w:p>
    <w:p w14:paraId="79862C05">
      <w:pPr>
        <w:pStyle w:val="11"/>
        <w:numPr>
          <w:ilvl w:val="0"/>
          <w:numId w:val="0"/>
        </w:numPr>
        <w:rPr>
          <w:rFonts w:ascii="宋体" w:hAnsi="宋体" w:cs="宋体"/>
          <w:bCs/>
          <w:color w:val="000000" w:themeColor="text1"/>
          <w:sz w:val="24"/>
          <w14:textFill>
            <w14:solidFill>
              <w14:schemeClr w14:val="tx1"/>
            </w14:solidFill>
          </w14:textFill>
        </w:rPr>
      </w:pPr>
    </w:p>
    <w:p w14:paraId="6875A9C5">
      <w:pPr>
        <w:pStyle w:val="11"/>
        <w:numPr>
          <w:ilvl w:val="0"/>
          <w:numId w:val="0"/>
        </w:numPr>
        <w:rPr>
          <w:rFonts w:ascii="宋体" w:hAnsi="宋体" w:cs="宋体"/>
          <w:bCs/>
          <w:color w:val="000000" w:themeColor="text1"/>
          <w:sz w:val="24"/>
          <w14:textFill>
            <w14:solidFill>
              <w14:schemeClr w14:val="tx1"/>
            </w14:solidFill>
          </w14:textFill>
        </w:rPr>
      </w:pPr>
    </w:p>
    <w:p w14:paraId="20BDEB14">
      <w:pPr>
        <w:pStyle w:val="11"/>
        <w:numPr>
          <w:ilvl w:val="0"/>
          <w:numId w:val="0"/>
        </w:numPr>
        <w:rPr>
          <w:rFonts w:ascii="宋体" w:hAnsi="宋体" w:cs="宋体"/>
          <w:bCs/>
          <w:color w:val="000000" w:themeColor="text1"/>
          <w:sz w:val="24"/>
          <w14:textFill>
            <w14:solidFill>
              <w14:schemeClr w14:val="tx1"/>
            </w14:solidFill>
          </w14:textFill>
        </w:rPr>
      </w:pPr>
    </w:p>
    <w:p w14:paraId="5C1DAB3E">
      <w:pPr>
        <w:pStyle w:val="11"/>
        <w:numPr>
          <w:ilvl w:val="0"/>
          <w:numId w:val="0"/>
        </w:numPr>
        <w:rPr>
          <w:rFonts w:ascii="宋体" w:hAnsi="宋体" w:cs="宋体"/>
          <w:bCs/>
          <w:color w:val="000000" w:themeColor="text1"/>
          <w:sz w:val="24"/>
          <w14:textFill>
            <w14:solidFill>
              <w14:schemeClr w14:val="tx1"/>
            </w14:solidFill>
          </w14:textFill>
        </w:rPr>
      </w:pPr>
    </w:p>
    <w:p w14:paraId="36C5C3B7">
      <w:pPr>
        <w:pStyle w:val="11"/>
        <w:numPr>
          <w:ilvl w:val="0"/>
          <w:numId w:val="0"/>
        </w:numPr>
        <w:rPr>
          <w:rFonts w:ascii="宋体" w:hAnsi="宋体" w:cs="宋体"/>
          <w:bCs/>
          <w:color w:val="000000" w:themeColor="text1"/>
          <w:sz w:val="24"/>
          <w14:textFill>
            <w14:solidFill>
              <w14:schemeClr w14:val="tx1"/>
            </w14:solidFill>
          </w14:textFill>
        </w:rPr>
      </w:pPr>
    </w:p>
    <w:p w14:paraId="05B31E06">
      <w:pPr>
        <w:pStyle w:val="11"/>
        <w:numPr>
          <w:ilvl w:val="0"/>
          <w:numId w:val="0"/>
        </w:numPr>
        <w:rPr>
          <w:rFonts w:ascii="宋体" w:hAnsi="宋体" w:cs="宋体"/>
          <w:bCs/>
          <w:color w:val="000000" w:themeColor="text1"/>
          <w:sz w:val="24"/>
          <w14:textFill>
            <w14:solidFill>
              <w14:schemeClr w14:val="tx1"/>
            </w14:solidFill>
          </w14:textFill>
        </w:rPr>
      </w:pPr>
    </w:p>
    <w:p w14:paraId="6597700A">
      <w:pPr>
        <w:pStyle w:val="11"/>
        <w:numPr>
          <w:ilvl w:val="0"/>
          <w:numId w:val="0"/>
        </w:numPr>
        <w:rPr>
          <w:rFonts w:ascii="宋体" w:hAnsi="宋体" w:cs="宋体"/>
          <w:bCs/>
          <w:color w:val="000000" w:themeColor="text1"/>
          <w:sz w:val="24"/>
          <w14:textFill>
            <w14:solidFill>
              <w14:schemeClr w14:val="tx1"/>
            </w14:solidFill>
          </w14:textFill>
        </w:rPr>
      </w:pPr>
    </w:p>
    <w:p w14:paraId="5EFA73C4">
      <w:pPr>
        <w:pStyle w:val="11"/>
        <w:numPr>
          <w:ilvl w:val="0"/>
          <w:numId w:val="0"/>
        </w:numPr>
        <w:rPr>
          <w:rFonts w:ascii="宋体" w:hAnsi="宋体" w:cs="宋体"/>
          <w:bCs/>
          <w:color w:val="000000" w:themeColor="text1"/>
          <w:sz w:val="24"/>
          <w14:textFill>
            <w14:solidFill>
              <w14:schemeClr w14:val="tx1"/>
            </w14:solidFill>
          </w14:textFill>
        </w:rPr>
      </w:pPr>
    </w:p>
    <w:p w14:paraId="623D2F16">
      <w:pPr>
        <w:pStyle w:val="11"/>
        <w:numPr>
          <w:ilvl w:val="0"/>
          <w:numId w:val="0"/>
        </w:numPr>
        <w:rPr>
          <w:rFonts w:ascii="宋体" w:hAnsi="宋体" w:cs="宋体"/>
          <w:bCs/>
          <w:color w:val="000000" w:themeColor="text1"/>
          <w:sz w:val="24"/>
          <w14:textFill>
            <w14:solidFill>
              <w14:schemeClr w14:val="tx1"/>
            </w14:solidFill>
          </w14:textFill>
        </w:rPr>
      </w:pPr>
    </w:p>
    <w:p w14:paraId="5ED51367">
      <w:pPr>
        <w:pStyle w:val="11"/>
        <w:numPr>
          <w:ilvl w:val="0"/>
          <w:numId w:val="0"/>
        </w:numPr>
        <w:rPr>
          <w:rFonts w:ascii="宋体" w:hAnsi="宋体" w:cs="宋体"/>
          <w:bCs/>
          <w:color w:val="000000" w:themeColor="text1"/>
          <w:sz w:val="24"/>
          <w14:textFill>
            <w14:solidFill>
              <w14:schemeClr w14:val="tx1"/>
            </w14:solidFill>
          </w14:textFill>
        </w:rPr>
      </w:pPr>
    </w:p>
    <w:p w14:paraId="2F3470C3">
      <w:pPr>
        <w:pStyle w:val="11"/>
        <w:numPr>
          <w:ilvl w:val="0"/>
          <w:numId w:val="0"/>
        </w:numPr>
        <w:rPr>
          <w:rFonts w:ascii="宋体" w:hAnsi="宋体" w:cs="宋体"/>
          <w:bCs/>
          <w:color w:val="000000" w:themeColor="text1"/>
          <w:sz w:val="24"/>
          <w14:textFill>
            <w14:solidFill>
              <w14:schemeClr w14:val="tx1"/>
            </w14:solidFill>
          </w14:textFill>
        </w:rPr>
      </w:pPr>
    </w:p>
    <w:p w14:paraId="2756C6B1">
      <w:pPr>
        <w:pStyle w:val="11"/>
        <w:numPr>
          <w:ilvl w:val="0"/>
          <w:numId w:val="0"/>
        </w:numPr>
        <w:rPr>
          <w:rFonts w:ascii="宋体" w:hAnsi="宋体" w:cs="宋体"/>
          <w:bCs/>
          <w:color w:val="000000" w:themeColor="text1"/>
          <w:sz w:val="24"/>
          <w14:textFill>
            <w14:solidFill>
              <w14:schemeClr w14:val="tx1"/>
            </w14:solidFill>
          </w14:textFill>
        </w:rPr>
      </w:pPr>
    </w:p>
    <w:p w14:paraId="46959551">
      <w:pPr>
        <w:pStyle w:val="11"/>
        <w:numPr>
          <w:ilvl w:val="0"/>
          <w:numId w:val="0"/>
        </w:numPr>
        <w:rPr>
          <w:rFonts w:ascii="宋体" w:hAnsi="宋体" w:cs="宋体"/>
          <w:bCs/>
          <w:color w:val="000000" w:themeColor="text1"/>
          <w:sz w:val="24"/>
          <w14:textFill>
            <w14:solidFill>
              <w14:schemeClr w14:val="tx1"/>
            </w14:solidFill>
          </w14:textFill>
        </w:rPr>
      </w:pPr>
    </w:p>
    <w:p w14:paraId="5E4C9B28">
      <w:pPr>
        <w:pStyle w:val="11"/>
        <w:numPr>
          <w:ilvl w:val="0"/>
          <w:numId w:val="0"/>
        </w:numPr>
        <w:rPr>
          <w:rFonts w:ascii="宋体" w:hAnsi="宋体" w:cs="宋体"/>
          <w:bCs/>
          <w:color w:val="000000" w:themeColor="text1"/>
          <w:sz w:val="24"/>
          <w14:textFill>
            <w14:solidFill>
              <w14:schemeClr w14:val="tx1"/>
            </w14:solidFill>
          </w14:textFill>
        </w:rPr>
      </w:pPr>
    </w:p>
    <w:p w14:paraId="0FFD37AB">
      <w:pPr>
        <w:pStyle w:val="11"/>
        <w:numPr>
          <w:ilvl w:val="0"/>
          <w:numId w:val="0"/>
        </w:numPr>
        <w:rPr>
          <w:rFonts w:ascii="宋体" w:hAnsi="宋体" w:cs="宋体"/>
          <w:bCs/>
          <w:color w:val="000000" w:themeColor="text1"/>
          <w:sz w:val="24"/>
          <w14:textFill>
            <w14:solidFill>
              <w14:schemeClr w14:val="tx1"/>
            </w14:solidFill>
          </w14:textFill>
        </w:rPr>
      </w:pPr>
    </w:p>
    <w:p w14:paraId="49577800">
      <w:pPr>
        <w:spacing w:line="20" w:lineRule="exact"/>
        <w:rPr>
          <w:rFonts w:asciiTheme="minorEastAsia" w:hAnsi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1F23">
    <w:pPr>
      <w:pStyle w:val="10"/>
      <w:spacing w:line="14" w:lineRule="auto"/>
      <w:rPr>
        <w:sz w:val="20"/>
      </w:rPr>
    </w:pPr>
    <w:r>
      <w:pict>
        <v:shape id="文本框 15" o:spid="_x0000_s3073" o:spt="202" type="#_x0000_t202" style="position:absolute;left:0pt;margin-left:291.15pt;margin-top:780.95pt;height:12pt;width:13.1pt;mso-position-horizontal-relative:page;mso-position-vertical-relative:page;z-index:-251657216;mso-width-relative:page;mso-height-relative:page;" filled="f" stroked="f" coordsize="21600,21600" o:gfxdata="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yT8z2gAAAA0BAAAPAAAAAAAAAAEAIAAAACIAAABkcnMvZG93bnJldi54bWxQ&#10;SwECFAAUAAAACACHTuJAOIsoOLwBAAB0AwAADgAAAAAAAAABACAAAAApAQAAZHJzL2Uyb0RvYy54&#10;bWxQSwUGAAAAAAYABgBZAQAAVwUAAAAA&#10;">
          <v:path/>
          <v:fill on="f" focussize="0,0"/>
          <v:stroke on="f" joinstyle="miter"/>
          <v:imagedata o:title=""/>
          <o:lock v:ext="edit"/>
          <v:textbox inset="0mm,0mm,0mm,0mm">
            <w:txbxContent>
              <w:p w14:paraId="29DB33B8">
                <w:pPr>
                  <w:spacing w:before="12"/>
                  <w:ind w:left="40"/>
                  <w:rPr>
                    <w:rFonts w:ascii="宋体" w:hAnsi="宋体" w:eastAsia="宋体" w:cs="宋体"/>
                    <w:b/>
                    <w:bCs/>
                    <w:szCs w:val="28"/>
                  </w:rPr>
                </w:pPr>
                <w:r>
                  <w:rPr>
                    <w:rFonts w:hint="eastAsia" w:ascii="宋体" w:hAnsi="宋体" w:eastAsia="宋体" w:cs="宋体"/>
                    <w:b/>
                    <w:bCs/>
                    <w:sz w:val="28"/>
                    <w:szCs w:val="28"/>
                  </w:rPr>
                  <w:fldChar w:fldCharType="begin"/>
                </w:r>
                <w:r>
                  <w:rPr>
                    <w:rFonts w:hint="eastAsia" w:ascii="宋体" w:hAnsi="宋体" w:eastAsia="宋体" w:cs="宋体"/>
                    <w:b/>
                    <w:bCs/>
                    <w:szCs w:val="28"/>
                  </w:rPr>
                  <w:instrText xml:space="preserve"> PAGE </w:instrText>
                </w:r>
                <w:r>
                  <w:rPr>
                    <w:rFonts w:hint="eastAsia" w:ascii="宋体" w:hAnsi="宋体" w:eastAsia="宋体" w:cs="宋体"/>
                    <w:b/>
                    <w:bCs/>
                    <w:sz w:val="28"/>
                    <w:szCs w:val="28"/>
                  </w:rPr>
                  <w:fldChar w:fldCharType="separate"/>
                </w:r>
                <w:r>
                  <w:rPr>
                    <w:rFonts w:ascii="宋体" w:hAnsi="宋体" w:eastAsia="宋体" w:cs="宋体"/>
                    <w:b/>
                    <w:bCs/>
                    <w:szCs w:val="28"/>
                  </w:rPr>
                  <w:t>8</w:t>
                </w:r>
                <w:r>
                  <w:rPr>
                    <w:rFonts w:hint="eastAsia" w:ascii="宋体" w:hAnsi="宋体" w:eastAsia="宋体" w:cs="宋体"/>
                    <w:b/>
                    <w:bCs/>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93CE"/>
    <w:multiLevelType w:val="singleLevel"/>
    <w:tmpl w:val="B01E93CE"/>
    <w:lvl w:ilvl="0" w:tentative="0">
      <w:start w:val="8"/>
      <w:numFmt w:val="chineseCounting"/>
      <w:suff w:val="nothing"/>
      <w:lvlText w:val="%1、"/>
      <w:lvlJc w:val="left"/>
      <w:rPr>
        <w:rFonts w:hint="eastAsia"/>
      </w:rPr>
    </w:lvl>
  </w:abstractNum>
  <w:abstractNum w:abstractNumId="1">
    <w:nsid w:val="FFFFFFFB"/>
    <w:multiLevelType w:val="multilevel"/>
    <w:tmpl w:val="FFFFFFFB"/>
    <w:lvl w:ilvl="0" w:tentative="0">
      <w:start w:val="1"/>
      <w:numFmt w:val="decimal"/>
      <w:lvlText w:val="%1"/>
      <w:lvlJc w:val="left"/>
      <w:pPr>
        <w:tabs>
          <w:tab w:val="left" w:pos="0"/>
        </w:tabs>
        <w:ind w:left="0" w:firstLine="0"/>
      </w:pPr>
      <w:rPr>
        <w:rFonts w:hint="eastAsia"/>
      </w:rPr>
    </w:lvl>
    <w:lvl w:ilvl="1" w:tentative="0">
      <w:start w:val="1"/>
      <w:numFmt w:val="decimal"/>
      <w:pStyle w:val="2"/>
      <w:lvlText w:val="1.%2"/>
      <w:lvlJc w:val="left"/>
      <w:pPr>
        <w:tabs>
          <w:tab w:val="left" w:pos="360"/>
        </w:tabs>
        <w:ind w:left="0" w:firstLine="0"/>
      </w:pPr>
      <w:rPr>
        <w:rFonts w:hint="eastAsia"/>
      </w:rPr>
    </w:lvl>
    <w:lvl w:ilvl="2" w:tentative="0">
      <w:start w:val="1"/>
      <w:numFmt w:val="decimal"/>
      <w:pStyle w:val="3"/>
      <w:lvlText w:val="1.%2.%3"/>
      <w:lvlJc w:val="left"/>
      <w:pPr>
        <w:tabs>
          <w:tab w:val="left" w:pos="1287"/>
        </w:tabs>
        <w:ind w:left="567" w:firstLine="0"/>
      </w:pPr>
      <w:rPr>
        <w:rFonts w:hint="eastAsia"/>
      </w:rPr>
    </w:lvl>
    <w:lvl w:ilvl="3" w:tentative="0">
      <w:start w:val="1"/>
      <w:numFmt w:val="decimal"/>
      <w:pStyle w:val="4"/>
      <w:lvlText w:val="%1.%2.%3.%4"/>
      <w:lvlJc w:val="left"/>
      <w:pPr>
        <w:tabs>
          <w:tab w:val="left" w:pos="0"/>
        </w:tabs>
        <w:ind w:left="0" w:firstLine="0"/>
      </w:pPr>
      <w:rPr>
        <w:rFonts w:hint="eastAsia"/>
      </w:rPr>
    </w:lvl>
    <w:lvl w:ilvl="4" w:tentative="0">
      <w:start w:val="1"/>
      <w:numFmt w:val="decimal"/>
      <w:pStyle w:val="5"/>
      <w:lvlText w:val="(%5)"/>
      <w:lvlJc w:val="left"/>
      <w:pPr>
        <w:tabs>
          <w:tab w:val="left" w:pos="480"/>
        </w:tabs>
        <w:ind w:left="480" w:firstLine="0"/>
      </w:pPr>
      <w:rPr>
        <w:rFonts w:hint="eastAsia"/>
      </w:rPr>
    </w:lvl>
    <w:lvl w:ilvl="5" w:tentative="0">
      <w:start w:val="1"/>
      <w:numFmt w:val="decimal"/>
      <w:pStyle w:val="6"/>
      <w:lvlText w:val="%6)"/>
      <w:lvlJc w:val="left"/>
      <w:pPr>
        <w:tabs>
          <w:tab w:val="left" w:pos="0"/>
        </w:tabs>
        <w:ind w:left="0" w:firstLine="0"/>
      </w:pPr>
      <w:rPr>
        <w:rFonts w:hint="eastAsia"/>
      </w:rPr>
    </w:lvl>
    <w:lvl w:ilvl="6" w:tentative="0">
      <w:start w:val="1"/>
      <w:numFmt w:val="lowerLetter"/>
      <w:pStyle w:val="7"/>
      <w:lvlText w:val="(%7)"/>
      <w:lvlJc w:val="left"/>
      <w:pPr>
        <w:tabs>
          <w:tab w:val="left" w:pos="0"/>
        </w:tabs>
        <w:ind w:left="0" w:firstLine="0"/>
      </w:pPr>
      <w:rPr>
        <w:rFonts w:hint="eastAsia"/>
      </w:rPr>
    </w:lvl>
    <w:lvl w:ilvl="7" w:tentative="0">
      <w:start w:val="1"/>
      <w:numFmt w:val="lowerLetter"/>
      <w:pStyle w:val="8"/>
      <w:lvlText w:val="%8)"/>
      <w:lvlJc w:val="left"/>
      <w:pPr>
        <w:tabs>
          <w:tab w:val="left" w:pos="0"/>
        </w:tabs>
        <w:ind w:left="0" w:firstLine="0"/>
      </w:pPr>
      <w:rPr>
        <w:rFonts w:hint="eastAsia"/>
      </w:rPr>
    </w:lvl>
    <w:lvl w:ilvl="8" w:tentative="0">
      <w:start w:val="1"/>
      <w:numFmt w:val="decimal"/>
      <w:pStyle w:val="9"/>
      <w:lvlText w:val="%8).%9"/>
      <w:lvlJc w:val="left"/>
      <w:pPr>
        <w:tabs>
          <w:tab w:val="left" w:pos="0"/>
        </w:tabs>
        <w:ind w:left="0" w:firstLine="0"/>
      </w:pPr>
      <w:rPr>
        <w:rFonts w:hint="eastAsia"/>
      </w:rPr>
    </w:lvl>
  </w:abstractNum>
  <w:abstractNum w:abstractNumId="2">
    <w:nsid w:val="5698499A"/>
    <w:multiLevelType w:val="singleLevel"/>
    <w:tmpl w:val="5698499A"/>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7"/>
    <w:rsid w:val="00013B54"/>
    <w:rsid w:val="00023372"/>
    <w:rsid w:val="0006030E"/>
    <w:rsid w:val="00060FF4"/>
    <w:rsid w:val="00064CDD"/>
    <w:rsid w:val="00066814"/>
    <w:rsid w:val="000A0622"/>
    <w:rsid w:val="000A4E37"/>
    <w:rsid w:val="000A6027"/>
    <w:rsid w:val="000E25AC"/>
    <w:rsid w:val="000E73CC"/>
    <w:rsid w:val="000F0A73"/>
    <w:rsid w:val="000F49DA"/>
    <w:rsid w:val="000F7D34"/>
    <w:rsid w:val="00102155"/>
    <w:rsid w:val="00102B19"/>
    <w:rsid w:val="00116C20"/>
    <w:rsid w:val="00127ADF"/>
    <w:rsid w:val="0014554E"/>
    <w:rsid w:val="00161253"/>
    <w:rsid w:val="001624E8"/>
    <w:rsid w:val="00176C59"/>
    <w:rsid w:val="00176CC9"/>
    <w:rsid w:val="00180C6E"/>
    <w:rsid w:val="001C2F68"/>
    <w:rsid w:val="001C4CEE"/>
    <w:rsid w:val="001D1984"/>
    <w:rsid w:val="001D681E"/>
    <w:rsid w:val="001E2E72"/>
    <w:rsid w:val="0024451E"/>
    <w:rsid w:val="00276662"/>
    <w:rsid w:val="00294169"/>
    <w:rsid w:val="00294713"/>
    <w:rsid w:val="002C45B7"/>
    <w:rsid w:val="002D09FD"/>
    <w:rsid w:val="002D73D1"/>
    <w:rsid w:val="002E2F2C"/>
    <w:rsid w:val="003126B0"/>
    <w:rsid w:val="00327A65"/>
    <w:rsid w:val="003332AD"/>
    <w:rsid w:val="003353AE"/>
    <w:rsid w:val="00355362"/>
    <w:rsid w:val="00373B2F"/>
    <w:rsid w:val="00375BFC"/>
    <w:rsid w:val="003765BE"/>
    <w:rsid w:val="00380C28"/>
    <w:rsid w:val="0039656C"/>
    <w:rsid w:val="003A0C21"/>
    <w:rsid w:val="003A2AC2"/>
    <w:rsid w:val="003A3500"/>
    <w:rsid w:val="003D0BA6"/>
    <w:rsid w:val="003D18BA"/>
    <w:rsid w:val="003D2EA9"/>
    <w:rsid w:val="003D4BF6"/>
    <w:rsid w:val="003D67BA"/>
    <w:rsid w:val="003D7C09"/>
    <w:rsid w:val="003E0ADF"/>
    <w:rsid w:val="003F2C83"/>
    <w:rsid w:val="003F2F0F"/>
    <w:rsid w:val="003F566B"/>
    <w:rsid w:val="0040152A"/>
    <w:rsid w:val="00412C78"/>
    <w:rsid w:val="00413606"/>
    <w:rsid w:val="00414068"/>
    <w:rsid w:val="00416EFC"/>
    <w:rsid w:val="0043252F"/>
    <w:rsid w:val="004441F3"/>
    <w:rsid w:val="00447341"/>
    <w:rsid w:val="0046094B"/>
    <w:rsid w:val="00463602"/>
    <w:rsid w:val="00464797"/>
    <w:rsid w:val="00480AA9"/>
    <w:rsid w:val="004848F7"/>
    <w:rsid w:val="00491730"/>
    <w:rsid w:val="004949A6"/>
    <w:rsid w:val="004A167D"/>
    <w:rsid w:val="004A69C5"/>
    <w:rsid w:val="004D2CF6"/>
    <w:rsid w:val="004D38F0"/>
    <w:rsid w:val="004F4908"/>
    <w:rsid w:val="00500467"/>
    <w:rsid w:val="00523B73"/>
    <w:rsid w:val="00527E78"/>
    <w:rsid w:val="00527FDC"/>
    <w:rsid w:val="00530EE6"/>
    <w:rsid w:val="00541EA7"/>
    <w:rsid w:val="0054616A"/>
    <w:rsid w:val="00552528"/>
    <w:rsid w:val="00552F40"/>
    <w:rsid w:val="00553B81"/>
    <w:rsid w:val="00554897"/>
    <w:rsid w:val="005575E8"/>
    <w:rsid w:val="00582787"/>
    <w:rsid w:val="00582E8E"/>
    <w:rsid w:val="0059528F"/>
    <w:rsid w:val="005A35A2"/>
    <w:rsid w:val="005A3F3E"/>
    <w:rsid w:val="005F0D33"/>
    <w:rsid w:val="005F6E50"/>
    <w:rsid w:val="005F714D"/>
    <w:rsid w:val="00606157"/>
    <w:rsid w:val="00616E91"/>
    <w:rsid w:val="00621001"/>
    <w:rsid w:val="0065733A"/>
    <w:rsid w:val="0067346F"/>
    <w:rsid w:val="00680C72"/>
    <w:rsid w:val="006829AF"/>
    <w:rsid w:val="006855BB"/>
    <w:rsid w:val="006C1DA4"/>
    <w:rsid w:val="006D74AD"/>
    <w:rsid w:val="006E06C6"/>
    <w:rsid w:val="00723E98"/>
    <w:rsid w:val="0073270B"/>
    <w:rsid w:val="00734F15"/>
    <w:rsid w:val="0073520A"/>
    <w:rsid w:val="00753EAA"/>
    <w:rsid w:val="00754401"/>
    <w:rsid w:val="00774490"/>
    <w:rsid w:val="007B4272"/>
    <w:rsid w:val="007C6E24"/>
    <w:rsid w:val="007D0644"/>
    <w:rsid w:val="007D70BE"/>
    <w:rsid w:val="008050C8"/>
    <w:rsid w:val="00835FCB"/>
    <w:rsid w:val="00846815"/>
    <w:rsid w:val="0087077E"/>
    <w:rsid w:val="00875E5D"/>
    <w:rsid w:val="008817C3"/>
    <w:rsid w:val="00890FD4"/>
    <w:rsid w:val="00891B61"/>
    <w:rsid w:val="008C3CB1"/>
    <w:rsid w:val="008C5B84"/>
    <w:rsid w:val="00903263"/>
    <w:rsid w:val="00916195"/>
    <w:rsid w:val="00924E36"/>
    <w:rsid w:val="00932E4C"/>
    <w:rsid w:val="00934ED5"/>
    <w:rsid w:val="00951763"/>
    <w:rsid w:val="00960A27"/>
    <w:rsid w:val="0096343E"/>
    <w:rsid w:val="009651B6"/>
    <w:rsid w:val="00971ABE"/>
    <w:rsid w:val="00976434"/>
    <w:rsid w:val="00977917"/>
    <w:rsid w:val="0098323D"/>
    <w:rsid w:val="009843CD"/>
    <w:rsid w:val="00994CC9"/>
    <w:rsid w:val="009A7B50"/>
    <w:rsid w:val="009C5F01"/>
    <w:rsid w:val="009C7B11"/>
    <w:rsid w:val="009D0ED0"/>
    <w:rsid w:val="009D1913"/>
    <w:rsid w:val="009D24F1"/>
    <w:rsid w:val="00A0144E"/>
    <w:rsid w:val="00A7051C"/>
    <w:rsid w:val="00A908DC"/>
    <w:rsid w:val="00AA1335"/>
    <w:rsid w:val="00AC483F"/>
    <w:rsid w:val="00AD4379"/>
    <w:rsid w:val="00AE6E4A"/>
    <w:rsid w:val="00AF2836"/>
    <w:rsid w:val="00AF644C"/>
    <w:rsid w:val="00AF77FD"/>
    <w:rsid w:val="00AF7E83"/>
    <w:rsid w:val="00B00257"/>
    <w:rsid w:val="00B0255F"/>
    <w:rsid w:val="00B130AE"/>
    <w:rsid w:val="00B342EA"/>
    <w:rsid w:val="00B454E2"/>
    <w:rsid w:val="00B5282F"/>
    <w:rsid w:val="00B63191"/>
    <w:rsid w:val="00B64203"/>
    <w:rsid w:val="00B6707F"/>
    <w:rsid w:val="00B71444"/>
    <w:rsid w:val="00B754CD"/>
    <w:rsid w:val="00B85607"/>
    <w:rsid w:val="00B95C5B"/>
    <w:rsid w:val="00BB7C12"/>
    <w:rsid w:val="00BC06DB"/>
    <w:rsid w:val="00BC7052"/>
    <w:rsid w:val="00C06A1E"/>
    <w:rsid w:val="00C164D0"/>
    <w:rsid w:val="00C22CAF"/>
    <w:rsid w:val="00C34277"/>
    <w:rsid w:val="00C34AAF"/>
    <w:rsid w:val="00C46CD9"/>
    <w:rsid w:val="00C629F2"/>
    <w:rsid w:val="00C63081"/>
    <w:rsid w:val="00C7037C"/>
    <w:rsid w:val="00C945F9"/>
    <w:rsid w:val="00CA315C"/>
    <w:rsid w:val="00CC54D0"/>
    <w:rsid w:val="00CD574F"/>
    <w:rsid w:val="00CE09EC"/>
    <w:rsid w:val="00CE1052"/>
    <w:rsid w:val="00CE5E65"/>
    <w:rsid w:val="00CE7FB8"/>
    <w:rsid w:val="00D06055"/>
    <w:rsid w:val="00D16825"/>
    <w:rsid w:val="00D220F6"/>
    <w:rsid w:val="00D303AB"/>
    <w:rsid w:val="00D54309"/>
    <w:rsid w:val="00D61777"/>
    <w:rsid w:val="00D64EE0"/>
    <w:rsid w:val="00D70286"/>
    <w:rsid w:val="00D73FA0"/>
    <w:rsid w:val="00D97F8E"/>
    <w:rsid w:val="00DB08AB"/>
    <w:rsid w:val="00DB33CF"/>
    <w:rsid w:val="00DB7435"/>
    <w:rsid w:val="00DC3CF1"/>
    <w:rsid w:val="00DC5033"/>
    <w:rsid w:val="00DD320B"/>
    <w:rsid w:val="00DD768B"/>
    <w:rsid w:val="00DE4DA7"/>
    <w:rsid w:val="00DF5BE6"/>
    <w:rsid w:val="00E05027"/>
    <w:rsid w:val="00E05CAE"/>
    <w:rsid w:val="00E358EB"/>
    <w:rsid w:val="00E415CE"/>
    <w:rsid w:val="00E474DE"/>
    <w:rsid w:val="00E71FBB"/>
    <w:rsid w:val="00E72F19"/>
    <w:rsid w:val="00E7495C"/>
    <w:rsid w:val="00E76363"/>
    <w:rsid w:val="00E77370"/>
    <w:rsid w:val="00E87326"/>
    <w:rsid w:val="00E90AB8"/>
    <w:rsid w:val="00EA22C8"/>
    <w:rsid w:val="00EA2E41"/>
    <w:rsid w:val="00EA4C57"/>
    <w:rsid w:val="00EA56E3"/>
    <w:rsid w:val="00EB08EA"/>
    <w:rsid w:val="00EB1AE6"/>
    <w:rsid w:val="00EB37B7"/>
    <w:rsid w:val="00ED36CF"/>
    <w:rsid w:val="00EE5EBE"/>
    <w:rsid w:val="00EF1C1C"/>
    <w:rsid w:val="00F15BFF"/>
    <w:rsid w:val="00F217CF"/>
    <w:rsid w:val="00F24A40"/>
    <w:rsid w:val="00F329EF"/>
    <w:rsid w:val="00F608CE"/>
    <w:rsid w:val="00F75536"/>
    <w:rsid w:val="00FB0EE9"/>
    <w:rsid w:val="00FD7CE4"/>
    <w:rsid w:val="1BC35668"/>
    <w:rsid w:val="2E67736B"/>
    <w:rsid w:val="66A72A00"/>
    <w:rsid w:val="725A5D1B"/>
    <w:rsid w:val="76CF0003"/>
    <w:rsid w:val="7BFB1615"/>
    <w:rsid w:val="BFFEE312"/>
    <w:rsid w:val="FDFF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0"/>
    <w:pPr>
      <w:widowControl/>
      <w:numPr>
        <w:ilvl w:val="1"/>
        <w:numId w:val="1"/>
      </w:numPr>
      <w:adjustRightInd w:val="0"/>
      <w:spacing w:line="460" w:lineRule="exact"/>
      <w:jc w:val="left"/>
      <w:textAlignment w:val="baseline"/>
      <w:outlineLvl w:val="1"/>
    </w:pPr>
    <w:rPr>
      <w:rFonts w:ascii="Times New Roman" w:hAnsi="Times New Roman" w:eastAsia="宋体" w:cs="Times New Roman"/>
      <w:b/>
      <w:kern w:val="0"/>
      <w:sz w:val="24"/>
      <w:szCs w:val="20"/>
    </w:rPr>
  </w:style>
  <w:style w:type="paragraph" w:styleId="3">
    <w:name w:val="heading 3"/>
    <w:basedOn w:val="1"/>
    <w:next w:val="1"/>
    <w:link w:val="27"/>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paragraph" w:styleId="4">
    <w:name w:val="heading 4"/>
    <w:basedOn w:val="1"/>
    <w:next w:val="1"/>
    <w:link w:val="28"/>
    <w:qFormat/>
    <w:uiPriority w:val="0"/>
    <w:pPr>
      <w:numPr>
        <w:ilvl w:val="3"/>
        <w:numId w:val="1"/>
      </w:numPr>
      <w:adjustRightInd w:val="0"/>
      <w:spacing w:line="460" w:lineRule="exact"/>
      <w:jc w:val="left"/>
      <w:textAlignment w:val="baseline"/>
      <w:outlineLvl w:val="3"/>
    </w:pPr>
    <w:rPr>
      <w:rFonts w:ascii="Times New Roman" w:hAnsi="Times New Roman" w:eastAsia="宋体" w:cs="Times New Roman"/>
      <w:kern w:val="0"/>
      <w:sz w:val="24"/>
      <w:szCs w:val="20"/>
    </w:rPr>
  </w:style>
  <w:style w:type="paragraph" w:styleId="5">
    <w:name w:val="heading 5"/>
    <w:basedOn w:val="1"/>
    <w:link w:val="29"/>
    <w:qFormat/>
    <w:uiPriority w:val="0"/>
    <w:pPr>
      <w:numPr>
        <w:ilvl w:val="4"/>
        <w:numId w:val="1"/>
      </w:numPr>
      <w:adjustRightInd w:val="0"/>
      <w:spacing w:line="460" w:lineRule="exact"/>
      <w:jc w:val="left"/>
      <w:textAlignment w:val="baseline"/>
      <w:outlineLvl w:val="4"/>
    </w:pPr>
    <w:rPr>
      <w:rFonts w:ascii="Times New Roman" w:hAnsi="Times New Roman" w:eastAsia="宋体" w:cs="Times New Roman"/>
      <w:kern w:val="0"/>
      <w:sz w:val="24"/>
      <w:szCs w:val="20"/>
    </w:rPr>
  </w:style>
  <w:style w:type="paragraph" w:styleId="6">
    <w:name w:val="heading 6"/>
    <w:basedOn w:val="1"/>
    <w:link w:val="30"/>
    <w:qFormat/>
    <w:uiPriority w:val="0"/>
    <w:pPr>
      <w:numPr>
        <w:ilvl w:val="5"/>
        <w:numId w:val="1"/>
      </w:num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7">
    <w:name w:val="heading 7"/>
    <w:basedOn w:val="1"/>
    <w:link w:val="31"/>
    <w:qFormat/>
    <w:uiPriority w:val="0"/>
    <w:pPr>
      <w:numPr>
        <w:ilvl w:val="6"/>
        <w:numId w:val="1"/>
      </w:numPr>
      <w:adjustRightInd w:val="0"/>
      <w:spacing w:line="460" w:lineRule="exact"/>
      <w:jc w:val="left"/>
      <w:textAlignment w:val="baseline"/>
      <w:outlineLvl w:val="6"/>
    </w:pPr>
    <w:rPr>
      <w:rFonts w:ascii="Times New Roman" w:hAnsi="Times New Roman" w:eastAsia="宋体" w:cs="Times New Roman"/>
      <w:kern w:val="0"/>
      <w:sz w:val="24"/>
      <w:szCs w:val="20"/>
    </w:rPr>
  </w:style>
  <w:style w:type="paragraph" w:styleId="8">
    <w:name w:val="heading 8"/>
    <w:basedOn w:val="1"/>
    <w:link w:val="32"/>
    <w:qFormat/>
    <w:uiPriority w:val="0"/>
    <w:pPr>
      <w:numPr>
        <w:ilvl w:val="7"/>
        <w:numId w:val="1"/>
      </w:numPr>
      <w:adjustRightInd w:val="0"/>
      <w:spacing w:line="460" w:lineRule="exact"/>
      <w:jc w:val="left"/>
      <w:textAlignment w:val="baseline"/>
      <w:outlineLvl w:val="7"/>
    </w:pPr>
    <w:rPr>
      <w:rFonts w:ascii="Times New Roman" w:hAnsi="Times New Roman" w:eastAsia="宋体" w:cs="Times New Roman"/>
      <w:kern w:val="0"/>
      <w:sz w:val="24"/>
      <w:szCs w:val="20"/>
    </w:rPr>
  </w:style>
  <w:style w:type="paragraph" w:styleId="9">
    <w:name w:val="heading 9"/>
    <w:basedOn w:val="1"/>
    <w:next w:val="1"/>
    <w:link w:val="33"/>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48"/>
    <w:semiHidden/>
    <w:unhideWhenUsed/>
    <w:qFormat/>
    <w:uiPriority w:val="99"/>
    <w:pPr>
      <w:spacing w:after="120"/>
    </w:pPr>
  </w:style>
  <w:style w:type="paragraph" w:styleId="11">
    <w:name w:val="List Bullet 2"/>
    <w:basedOn w:val="1"/>
    <w:semiHidden/>
    <w:unhideWhenUsed/>
    <w:qFormat/>
    <w:uiPriority w:val="99"/>
    <w:pPr>
      <w:numPr>
        <w:ilvl w:val="0"/>
        <w:numId w:val="2"/>
      </w:numPr>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24"/>
    <w:semiHidden/>
    <w:unhideWhenUsed/>
    <w:qFormat/>
    <w:uiPriority w:val="99"/>
    <w:pPr>
      <w:ind w:left="100" w:leftChars="2500"/>
    </w:pPr>
  </w:style>
  <w:style w:type="paragraph" w:styleId="14">
    <w:name w:val="footer"/>
    <w:basedOn w:val="1"/>
    <w:link w:val="23"/>
    <w:unhideWhenUsed/>
    <w:qFormat/>
    <w:uiPriority w:val="99"/>
    <w:pPr>
      <w:tabs>
        <w:tab w:val="center" w:pos="4153"/>
        <w:tab w:val="right" w:pos="8306"/>
      </w:tabs>
      <w:snapToGrid w:val="0"/>
      <w:jc w:val="left"/>
    </w:pPr>
    <w:rPr>
      <w:sz w:val="18"/>
      <w:szCs w:val="18"/>
    </w:rPr>
  </w:style>
  <w:style w:type="paragraph" w:styleId="1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after="240" w:line="360" w:lineRule="atLeast"/>
      <w:jc w:val="left"/>
    </w:pPr>
    <w:rPr>
      <w:rFonts w:ascii="Arial" w:hAnsi="Arial" w:eastAsia="宋体" w:cs="Arial"/>
      <w:color w:val="000000"/>
      <w:kern w:val="0"/>
      <w:sz w:val="14"/>
      <w:szCs w:val="1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customStyle="1" w:styleId="22">
    <w:name w:val="页眉 字符"/>
    <w:basedOn w:val="19"/>
    <w:link w:val="15"/>
    <w:qFormat/>
    <w:uiPriority w:val="99"/>
    <w:rPr>
      <w:sz w:val="18"/>
      <w:szCs w:val="18"/>
    </w:rPr>
  </w:style>
  <w:style w:type="character" w:customStyle="1" w:styleId="23">
    <w:name w:val="页脚 字符"/>
    <w:basedOn w:val="19"/>
    <w:link w:val="14"/>
    <w:qFormat/>
    <w:uiPriority w:val="99"/>
    <w:rPr>
      <w:sz w:val="18"/>
      <w:szCs w:val="18"/>
    </w:rPr>
  </w:style>
  <w:style w:type="character" w:customStyle="1" w:styleId="24">
    <w:name w:val="日期 字符"/>
    <w:basedOn w:val="19"/>
    <w:link w:val="13"/>
    <w:semiHidden/>
    <w:qFormat/>
    <w:uiPriority w:val="99"/>
  </w:style>
  <w:style w:type="paragraph" w:styleId="25">
    <w:name w:val="List Paragraph"/>
    <w:basedOn w:val="1"/>
    <w:qFormat/>
    <w:uiPriority w:val="34"/>
    <w:pPr>
      <w:spacing w:before="100" w:beforeAutospacing="1" w:after="100" w:line="100" w:lineRule="atLeast"/>
      <w:ind w:firstLine="420" w:firstLineChars="200"/>
    </w:pPr>
    <w:rPr>
      <w:rFonts w:ascii="Calibri" w:hAnsi="Calibri" w:eastAsia="宋体" w:cs="Times New Roman"/>
    </w:rPr>
  </w:style>
  <w:style w:type="character" w:customStyle="1" w:styleId="26">
    <w:name w:val="标题 2 字符"/>
    <w:basedOn w:val="19"/>
    <w:link w:val="2"/>
    <w:qFormat/>
    <w:uiPriority w:val="0"/>
    <w:rPr>
      <w:rFonts w:ascii="Times New Roman" w:hAnsi="Times New Roman" w:eastAsia="宋体" w:cs="Times New Roman"/>
      <w:b/>
      <w:kern w:val="0"/>
      <w:sz w:val="24"/>
      <w:szCs w:val="20"/>
    </w:rPr>
  </w:style>
  <w:style w:type="character" w:customStyle="1" w:styleId="27">
    <w:name w:val="标题 3 字符"/>
    <w:basedOn w:val="19"/>
    <w:link w:val="3"/>
    <w:qFormat/>
    <w:uiPriority w:val="0"/>
    <w:rPr>
      <w:rFonts w:ascii="Times New Roman" w:hAnsi="Times New Roman" w:eastAsia="宋体" w:cs="Times New Roman"/>
      <w:kern w:val="0"/>
      <w:sz w:val="24"/>
      <w:szCs w:val="20"/>
    </w:rPr>
  </w:style>
  <w:style w:type="character" w:customStyle="1" w:styleId="28">
    <w:name w:val="标题 4 字符"/>
    <w:basedOn w:val="19"/>
    <w:link w:val="4"/>
    <w:qFormat/>
    <w:uiPriority w:val="0"/>
    <w:rPr>
      <w:rFonts w:ascii="Times New Roman" w:hAnsi="Times New Roman" w:eastAsia="宋体" w:cs="Times New Roman"/>
      <w:kern w:val="0"/>
      <w:sz w:val="24"/>
      <w:szCs w:val="20"/>
    </w:rPr>
  </w:style>
  <w:style w:type="character" w:customStyle="1" w:styleId="29">
    <w:name w:val="标题 5 字符"/>
    <w:basedOn w:val="19"/>
    <w:link w:val="5"/>
    <w:qFormat/>
    <w:uiPriority w:val="0"/>
    <w:rPr>
      <w:rFonts w:ascii="Times New Roman" w:hAnsi="Times New Roman" w:eastAsia="宋体" w:cs="Times New Roman"/>
      <w:kern w:val="0"/>
      <w:sz w:val="24"/>
      <w:szCs w:val="20"/>
    </w:rPr>
  </w:style>
  <w:style w:type="character" w:customStyle="1" w:styleId="30">
    <w:name w:val="标题 6 字符"/>
    <w:basedOn w:val="19"/>
    <w:link w:val="6"/>
    <w:qFormat/>
    <w:uiPriority w:val="0"/>
    <w:rPr>
      <w:rFonts w:ascii="Times New Roman" w:hAnsi="Times New Roman" w:eastAsia="宋体" w:cs="Times New Roman"/>
      <w:kern w:val="0"/>
      <w:sz w:val="24"/>
      <w:szCs w:val="20"/>
    </w:rPr>
  </w:style>
  <w:style w:type="character" w:customStyle="1" w:styleId="31">
    <w:name w:val="标题 7 字符"/>
    <w:basedOn w:val="19"/>
    <w:link w:val="7"/>
    <w:qFormat/>
    <w:uiPriority w:val="0"/>
    <w:rPr>
      <w:rFonts w:ascii="Times New Roman" w:hAnsi="Times New Roman" w:eastAsia="宋体" w:cs="Times New Roman"/>
      <w:kern w:val="0"/>
      <w:sz w:val="24"/>
      <w:szCs w:val="20"/>
    </w:rPr>
  </w:style>
  <w:style w:type="character" w:customStyle="1" w:styleId="32">
    <w:name w:val="标题 8 字符"/>
    <w:basedOn w:val="19"/>
    <w:link w:val="8"/>
    <w:qFormat/>
    <w:uiPriority w:val="0"/>
    <w:rPr>
      <w:rFonts w:ascii="Times New Roman" w:hAnsi="Times New Roman" w:eastAsia="宋体" w:cs="Times New Roman"/>
      <w:kern w:val="0"/>
      <w:sz w:val="24"/>
      <w:szCs w:val="20"/>
    </w:rPr>
  </w:style>
  <w:style w:type="character" w:customStyle="1" w:styleId="33">
    <w:name w:val="标题 9 字符"/>
    <w:basedOn w:val="19"/>
    <w:link w:val="9"/>
    <w:qFormat/>
    <w:uiPriority w:val="0"/>
    <w:rPr>
      <w:rFonts w:ascii="Arial" w:hAnsi="Arial" w:eastAsia="黑体" w:cs="Times New Roman"/>
      <w:kern w:val="0"/>
      <w:sz w:val="24"/>
      <w:szCs w:val="20"/>
    </w:rPr>
  </w:style>
  <w:style w:type="character" w:customStyle="1" w:styleId="34">
    <w:name w:val="纯文本 字符"/>
    <w:basedOn w:val="19"/>
    <w:link w:val="12"/>
    <w:qFormat/>
    <w:uiPriority w:val="0"/>
    <w:rPr>
      <w:rFonts w:ascii="宋体" w:hAnsi="Courier New" w:eastAsia="宋体" w:cs="Times New Roman"/>
      <w:szCs w:val="20"/>
    </w:rPr>
  </w:style>
  <w:style w:type="paragraph" w:customStyle="1" w:styleId="35">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7">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xl7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1">
    <w:name w:val="xl7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2">
    <w:name w:val="xl80"/>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7">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48">
    <w:name w:val="正文文本 字符"/>
    <w:basedOn w:val="19"/>
    <w:link w:val="10"/>
    <w:semiHidden/>
    <w:qFormat/>
    <w:uiPriority w:val="99"/>
  </w:style>
  <w:style w:type="table" w:customStyle="1" w:styleId="49">
    <w:name w:val="网格型1"/>
    <w:basedOn w:val="17"/>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正文（缩进）"/>
    <w:basedOn w:val="1"/>
    <w:next w:val="1"/>
    <w:qFormat/>
    <w:uiPriority w:val="0"/>
    <w:pPr>
      <w:ind w:firstLine="480" w:firstLineChars="200"/>
    </w:pPr>
  </w:style>
  <w:style w:type="paragraph" w:customStyle="1" w:styleId="51">
    <w:name w:val="表格属性_王"/>
    <w:basedOn w:val="1"/>
    <w:qFormat/>
    <w:uiPriority w:val="0"/>
    <w:pPr>
      <w:widowControl/>
      <w:shd w:val="clear" w:color="auto" w:fill="FFFFFF"/>
      <w:spacing w:before="156" w:beforeLines="50" w:after="156" w:afterLines="50"/>
      <w:jc w:val="left"/>
    </w:pPr>
    <w:rPr>
      <w:rFonts w:ascii="宋体" w:hAnsi="宋体"/>
      <w:color w:val="000000"/>
      <w:sz w:val="18"/>
      <w:szCs w:val="18"/>
    </w:rPr>
  </w:style>
  <w:style w:type="paragraph" w:customStyle="1" w:styleId="52">
    <w:name w:val="Default"/>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5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4">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4004</Words>
  <Characters>4297</Characters>
  <Lines>34</Lines>
  <Paragraphs>9</Paragraphs>
  <TotalTime>173</TotalTime>
  <ScaleCrop>false</ScaleCrop>
  <LinksUpToDate>false</LinksUpToDate>
  <CharactersWithSpaces>4591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2025-04-27T09:57:00Z</dcterms:created>
  <dc:creator>PC</dc:creator>
  <cp:lastModifiedBy>董石语</cp:lastModifiedBy>
  <cp:lastPrinted>2023-12-12T14:47:00Z</cp:lastPrinted>
  <dcterms:modified xsi:type="dcterms:W3CDTF">2025-05-06T03:04:20Z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eyJoZGlkIjoiODVjMWYyNDZlNjI1MDgwMWQ1NWNlNmFkNzIwMjk4ZGEiLCJ1c2VySWQiOiIxNjYzNzE0NjM4In0=</vt:lpwstr>
  </property>
  <property fmtid="{D5CDD505-2E9C-101B-9397-08002B2CF9AE}" pid="3" name="KSOProductBuildVer">
    <vt:lpwstr>2052-12.1.0.20784</vt:lpwstr>
  </property>
  <property fmtid="{D5CDD505-2E9C-101B-9397-08002B2CF9AE}" pid="4" name="ICV">
    <vt:lpwstr>14789A13369743F08851C68CF6792F20_13</vt:lpwstr>
  </property>
</Properties>
</file>